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BA902" w14:textId="77777777" w:rsidR="004D60C3" w:rsidRDefault="004D60C3" w:rsidP="004D60C3">
      <w:pPr>
        <w:pStyle w:val="4-"/>
      </w:pPr>
      <w:r w:rsidRPr="00C0663D">
        <w:t xml:space="preserve">Medical </w:t>
      </w:r>
      <w:r>
        <w:rPr>
          <w:rFonts w:hint="eastAsia"/>
        </w:rPr>
        <w:t>I</w:t>
      </w:r>
      <w:r w:rsidRPr="00C0663D">
        <w:t>ntervention</w:t>
      </w:r>
      <w:r w:rsidRPr="00C0663D">
        <w:rPr>
          <w:rFonts w:hint="eastAsia"/>
        </w:rPr>
        <w:t xml:space="preserve"> </w:t>
      </w:r>
      <w:bookmarkStart w:id="0" w:name="OLE_LINK2"/>
      <w:r>
        <w:rPr>
          <w:rFonts w:hint="eastAsia"/>
        </w:rPr>
        <w:t>「医学干预」建议方案</w:t>
      </w:r>
      <w:bookmarkEnd w:id="0"/>
    </w:p>
    <w:p w14:paraId="6B578D68" w14:textId="5EC92A38" w:rsidR="00E5430C" w:rsidRDefault="00222674" w:rsidP="00222674">
      <w:pPr>
        <w:pStyle w:val="00"/>
      </w:pPr>
      <w:r w:rsidRPr="00222674">
        <w:t>The current core medical intervention priorities are: Inflammatory/immune disorders Anaemia Endocrine/hormonal disorders (premature ageing)</w:t>
      </w:r>
      <w:r>
        <w:t xml:space="preserve">. </w:t>
      </w:r>
      <w:r w:rsidRPr="00222674">
        <w:t>Based on this, the principle guiding your proposed medical intervention plan is to first ‘reduce inflammation and clarify immune function’, followed by ‘hormonal and regenerative approaches’. Your issue does not lie with metabolic/cardiovascular axis dysfunction, but rather with ‘elevated inflammation + markedly low complement levels + elevated IgA + mild anaemia’. In functional medicine, this combination of issues more closely resembles persistent immune system stimulation or immune complex-related depletion.</w:t>
      </w:r>
    </w:p>
    <w:p w14:paraId="16084A22" w14:textId="3AC01611" w:rsidR="00222674" w:rsidRPr="00222674" w:rsidRDefault="00222674" w:rsidP="004D60C3">
      <w:pPr>
        <w:widowControl/>
        <w:spacing w:line="240" w:lineRule="auto"/>
        <w:jc w:val="left"/>
        <w:rPr>
          <w:b/>
          <w:bCs/>
          <w:color w:val="EE0000"/>
        </w:rPr>
      </w:pPr>
      <w:r w:rsidRPr="00222674">
        <w:rPr>
          <w:rFonts w:hint="eastAsia"/>
          <w:b/>
          <w:bCs/>
          <w:color w:val="EE0000"/>
        </w:rPr>
        <w:t>当前核心的医疗干预方向为：炎症/免疫类问题——贫血问题——内分泌/荷尔蒙（早衰）问题</w:t>
      </w:r>
      <w:r>
        <w:rPr>
          <w:rFonts w:hint="eastAsia"/>
          <w:b/>
          <w:bCs/>
          <w:color w:val="EE0000"/>
        </w:rPr>
        <w:t>。</w:t>
      </w:r>
      <w:r w:rsidRPr="00222674">
        <w:rPr>
          <w:rFonts w:hint="eastAsia"/>
          <w:color w:val="000000" w:themeColor="text1"/>
        </w:rPr>
        <w:t>基于此，</w:t>
      </w:r>
      <w:r>
        <w:rPr>
          <w:rFonts w:hint="eastAsia"/>
          <w:color w:val="000000" w:themeColor="text1"/>
        </w:rPr>
        <w:t>针对您的</w:t>
      </w:r>
      <w:r w:rsidRPr="00222674">
        <w:rPr>
          <w:color w:val="000000" w:themeColor="text1"/>
        </w:rPr>
        <w:t>「医学干预」建议方案</w:t>
      </w:r>
      <w:r>
        <w:rPr>
          <w:rFonts w:hint="eastAsia"/>
          <w:color w:val="000000" w:themeColor="text1"/>
        </w:rPr>
        <w:t>的原则是</w:t>
      </w:r>
      <w:r w:rsidRPr="00222674">
        <w:rPr>
          <w:color w:val="000000" w:themeColor="text1"/>
        </w:rPr>
        <w:t>先“降炎症、厘清免疫”，再“荷尔蒙与再生”</w:t>
      </w:r>
      <w:r>
        <w:rPr>
          <w:rFonts w:hint="eastAsia"/>
          <w:color w:val="000000" w:themeColor="text1"/>
        </w:rPr>
        <w:t>，您的问题并非代谢/心血管轴的问题，而是</w:t>
      </w:r>
      <w:r w:rsidRPr="00222674">
        <w:rPr>
          <w:color w:val="000000" w:themeColor="text1"/>
        </w:rPr>
        <w:t>“炎症偏高 + 补体显著偏低 + IgA偏高 + 轻度贫血”</w:t>
      </w:r>
      <w:r>
        <w:rPr>
          <w:rFonts w:hint="eastAsia"/>
          <w:color w:val="000000" w:themeColor="text1"/>
        </w:rPr>
        <w:t>。</w:t>
      </w:r>
      <w:r w:rsidRPr="00222674">
        <w:rPr>
          <w:color w:val="000000" w:themeColor="text1"/>
        </w:rPr>
        <w:t>在功能医学上，</w:t>
      </w:r>
      <w:r>
        <w:rPr>
          <w:rFonts w:hint="eastAsia"/>
          <w:color w:val="000000" w:themeColor="text1"/>
        </w:rPr>
        <w:t>此类问题</w:t>
      </w:r>
      <w:r w:rsidRPr="00222674">
        <w:rPr>
          <w:color w:val="000000" w:themeColor="text1"/>
        </w:rPr>
        <w:t>组合更像是免疫系统存在持续刺激或免疫复合物相关消耗。</w:t>
      </w:r>
    </w:p>
    <w:p w14:paraId="4DAFDB01" w14:textId="77777777" w:rsidR="00222674" w:rsidRDefault="00222674" w:rsidP="004D60C3">
      <w:pPr>
        <w:widowControl/>
        <w:spacing w:line="240" w:lineRule="auto"/>
        <w:jc w:val="left"/>
      </w:pPr>
    </w:p>
    <w:p w14:paraId="55F04F02" w14:textId="0F7333FB" w:rsidR="00121E38" w:rsidRPr="00A97B53" w:rsidRDefault="00867D5C" w:rsidP="00121E38">
      <w:pPr>
        <w:widowControl/>
        <w:spacing w:line="240" w:lineRule="auto"/>
        <w:jc w:val="left"/>
        <w:rPr>
          <w:b/>
          <w:bCs/>
          <w:sz w:val="28"/>
          <w:szCs w:val="32"/>
        </w:rPr>
      </w:pPr>
      <w:r w:rsidRPr="00A97B53">
        <w:rPr>
          <w:rFonts w:hint="eastAsia"/>
          <w:b/>
          <w:bCs/>
          <w:sz w:val="28"/>
          <w:szCs w:val="32"/>
        </w:rPr>
        <w:t>1</w:t>
      </w:r>
      <w:r w:rsidR="00121E38" w:rsidRPr="00A97B53">
        <w:rPr>
          <w:b/>
          <w:bCs/>
          <w:sz w:val="28"/>
          <w:szCs w:val="32"/>
        </w:rPr>
        <w:t xml:space="preserve">) Hormone-Centered Improvement Plan ｜ </w:t>
      </w:r>
      <w:r w:rsidR="00222674" w:rsidRPr="00A97B53">
        <w:rPr>
          <w:rFonts w:hint="eastAsia"/>
          <w:b/>
          <w:bCs/>
          <w:sz w:val="28"/>
          <w:szCs w:val="32"/>
        </w:rPr>
        <w:t>生物同源性</w:t>
      </w:r>
      <w:r w:rsidR="00121E38" w:rsidRPr="00A97B53">
        <w:rPr>
          <w:b/>
          <w:bCs/>
          <w:sz w:val="28"/>
          <w:szCs w:val="32"/>
        </w:rPr>
        <w:t>荷尔蒙</w:t>
      </w:r>
      <w:r w:rsidR="00222674" w:rsidRPr="00A97B53">
        <w:rPr>
          <w:rFonts w:hint="eastAsia"/>
          <w:b/>
          <w:bCs/>
          <w:sz w:val="28"/>
          <w:szCs w:val="32"/>
        </w:rPr>
        <w:t>调理</w:t>
      </w:r>
    </w:p>
    <w:p w14:paraId="2AE090C7" w14:textId="77777777" w:rsidR="00A97B53" w:rsidRDefault="00A97B53" w:rsidP="00121E38">
      <w:pPr>
        <w:pStyle w:val="00"/>
      </w:pPr>
    </w:p>
    <w:p w14:paraId="6A8CA507" w14:textId="02204415" w:rsidR="00121E38" w:rsidRDefault="007A1F04" w:rsidP="00121E38">
      <w:pPr>
        <w:pStyle w:val="00"/>
      </w:pPr>
      <w:r w:rsidRPr="007A1F04">
        <w:t xml:space="preserve">Your current endocrine profile aligns more closely with a dual-axis approach characterised by stabilisation followed by gradual elevation: Firstly, the thyroid axis (presenting a subclinical hypothyroid pattern characterised by hypothyroid physiological state/or acceptable FT4 levels but markedly elevated TSH). Secondly, the sex hormone/adrenal androgen axis (significantly low DHEA-S combined with extremely low AMH, indicating overall weakness in both ‘androgen foundation and ovarian reserve’, with heightened risk of premature perimenopause). Be.U Med's Bio-Hormone Replacement Therapy (BHRT) does not prioritise short-term subjective </w:t>
      </w:r>
      <w:proofErr w:type="gramStart"/>
      <w:r w:rsidRPr="007A1F04">
        <w:t>sensations, but</w:t>
      </w:r>
      <w:proofErr w:type="gramEnd"/>
      <w:r w:rsidRPr="007A1F04">
        <w:t xml:space="preserve"> rather aims for physiological range and rhythmic stability. This is achieved through individualised medical prescriptions and regular reassessments, enabling long-term, controllable improvement</w:t>
      </w:r>
      <w:r w:rsidR="00121E38" w:rsidRPr="00121E38">
        <w:t>.</w:t>
      </w:r>
    </w:p>
    <w:p w14:paraId="7AB7FEEB" w14:textId="0EA5F655" w:rsidR="00121E38" w:rsidRDefault="007A1F04" w:rsidP="0050199C">
      <w:pPr>
        <w:pStyle w:val="0"/>
      </w:pPr>
      <w:r w:rsidRPr="007A1F04">
        <w:t>您目前的内分泌画像更符合</w:t>
      </w:r>
      <w:r w:rsidRPr="007A1F04">
        <w:t>“</w:t>
      </w:r>
      <w:r w:rsidRPr="007A1F04">
        <w:t>双轴并行、先稳后升</w:t>
      </w:r>
      <w:r w:rsidRPr="007A1F04">
        <w:t>”</w:t>
      </w:r>
      <w:r w:rsidRPr="007A1F04">
        <w:t>的策略：其一是甲状腺轴（呈现甲减生理状态</w:t>
      </w:r>
      <w:r w:rsidRPr="007A1F04">
        <w:t>/</w:t>
      </w:r>
      <w:r w:rsidRPr="007A1F04">
        <w:t>或</w:t>
      </w:r>
      <w:r w:rsidRPr="007A1F04">
        <w:t>FT4</w:t>
      </w:r>
      <w:r w:rsidRPr="007A1F04">
        <w:t>尚可但</w:t>
      </w:r>
      <w:r w:rsidRPr="007A1F04">
        <w:t>TSH</w:t>
      </w:r>
      <w:r w:rsidRPr="007A1F04">
        <w:t>显著升高的亚临床甲减格局），其二是性激素</w:t>
      </w:r>
      <w:r w:rsidRPr="007A1F04">
        <w:t>/</w:t>
      </w:r>
      <w:r w:rsidRPr="007A1F04">
        <w:t>肾上腺雄激素轴（</w:t>
      </w:r>
      <w:r w:rsidRPr="007A1F04">
        <w:t>DHEA-S</w:t>
      </w:r>
      <w:r w:rsidRPr="007A1F04">
        <w:t>显著偏低叠加</w:t>
      </w:r>
      <w:r w:rsidRPr="007A1F04">
        <w:t>AMH</w:t>
      </w:r>
      <w:r w:rsidRPr="007A1F04">
        <w:t>极低，提示</w:t>
      </w:r>
      <w:r w:rsidRPr="007A1F04">
        <w:t>“</w:t>
      </w:r>
      <w:r w:rsidRPr="007A1F04">
        <w:t>雄激素底盘</w:t>
      </w:r>
      <w:r w:rsidRPr="007A1F04">
        <w:t>+</w:t>
      </w:r>
      <w:r w:rsidRPr="007A1F04">
        <w:t>卵巢储备</w:t>
      </w:r>
      <w:r w:rsidRPr="007A1F04">
        <w:t>”</w:t>
      </w:r>
      <w:r w:rsidRPr="007A1F04">
        <w:t>整体偏弱，围绝经提前风险更高）。</w:t>
      </w:r>
      <w:r w:rsidRPr="007A1F04">
        <w:t xml:space="preserve">Be.U Med </w:t>
      </w:r>
      <w:r w:rsidRPr="007A1F04">
        <w:t>的</w:t>
      </w:r>
      <w:r w:rsidRPr="007A1F04">
        <w:t>BHRT</w:t>
      </w:r>
      <w:r w:rsidRPr="007A1F04">
        <w:t>并非追求短期体感，而是以生理范围与节律稳定为目标，通过医生个体化处方与复评来实现长期、可控的改善</w:t>
      </w:r>
      <w:r w:rsidR="00222674">
        <w:rPr>
          <w:rFonts w:hint="eastAsia"/>
        </w:rPr>
        <w:t>。</w:t>
      </w:r>
    </w:p>
    <w:p w14:paraId="4A90EE7B" w14:textId="68609664" w:rsidR="007A1F04" w:rsidRPr="0083564B" w:rsidRDefault="007A1F04" w:rsidP="0050199C">
      <w:pPr>
        <w:pStyle w:val="0"/>
        <w:rPr>
          <w:b/>
          <w:bCs/>
        </w:rPr>
      </w:pPr>
      <w:r w:rsidRPr="0083564B">
        <w:rPr>
          <w:b/>
          <w:bCs/>
        </w:rPr>
        <w:t xml:space="preserve">1.1 Thyroid-axis optimization </w:t>
      </w:r>
      <w:r w:rsidRPr="0083564B">
        <w:rPr>
          <w:b/>
          <w:bCs/>
        </w:rPr>
        <w:t>｜</w:t>
      </w:r>
      <w:r w:rsidRPr="0083564B">
        <w:rPr>
          <w:b/>
          <w:bCs/>
        </w:rPr>
        <w:t xml:space="preserve"> </w:t>
      </w:r>
      <w:r w:rsidRPr="0083564B">
        <w:rPr>
          <w:b/>
          <w:bCs/>
        </w:rPr>
        <w:t>甲减轴：与药物协同的</w:t>
      </w:r>
      <w:r w:rsidRPr="0083564B">
        <w:rPr>
          <w:b/>
          <w:bCs/>
        </w:rPr>
        <w:t>“</w:t>
      </w:r>
      <w:r w:rsidRPr="0083564B">
        <w:rPr>
          <w:b/>
          <w:bCs/>
        </w:rPr>
        <w:t>回归正常范围</w:t>
      </w:r>
      <w:r w:rsidRPr="0083564B">
        <w:rPr>
          <w:b/>
          <w:bCs/>
        </w:rPr>
        <w:t>”</w:t>
      </w:r>
      <w:r w:rsidRPr="0083564B">
        <w:rPr>
          <w:b/>
          <w:bCs/>
        </w:rPr>
        <w:t>目标</w:t>
      </w:r>
    </w:p>
    <w:p w14:paraId="158DE1FE" w14:textId="74009F03" w:rsidR="007A1F04" w:rsidRDefault="007A1F04" w:rsidP="007A1F04">
      <w:pPr>
        <w:pStyle w:val="00"/>
      </w:pPr>
      <w:r w:rsidRPr="007A1F04">
        <w:t>For hypothyroidism, the medical objective is to alleviate associated symptoms and restore TSH/FT4 levels to within the reference range. Standard clinical treatment typically involves thyroid hormone replacement/optimisation with levothyroxine, with precise titration based on follow-up results and subjective symptoms. For most non-pregnant individuals, when TSH exceeds 10 mIU/L, the clinical approach leans towards ‘considering treatment,’ though the core principle remains individualisation and dynamic monitoring rather than excessive suppression. Once the thyroid axis stabilises, it often provides significant support for enhancing vitality, cold tolerance, lipid metabolism, intestinal motility, emotional cognition, menstrual regularity, and weight management. This stability also creates a more robust physiological foundation for subsequent immunotherapy and regenerative treatments to deliver optimal outcomes.</w:t>
      </w:r>
    </w:p>
    <w:p w14:paraId="431A60B3" w14:textId="7455AAFF" w:rsidR="007A1F04" w:rsidRDefault="007A1F04" w:rsidP="0050199C">
      <w:pPr>
        <w:pStyle w:val="0"/>
      </w:pPr>
      <w:r w:rsidRPr="007A1F04">
        <w:t>针对甲减</w:t>
      </w:r>
      <w:r>
        <w:rPr>
          <w:rFonts w:hint="eastAsia"/>
        </w:rPr>
        <w:t>问题</w:t>
      </w:r>
      <w:r w:rsidRPr="007A1F04">
        <w:t>，医学目标是：缓解相关症状，并将</w:t>
      </w:r>
      <w:r w:rsidRPr="007A1F04">
        <w:t>TSH/FT4</w:t>
      </w:r>
      <w:r w:rsidRPr="007A1F04">
        <w:t>调回参考范围内；临床标准治疗通常以左甲状腺素等甲状腺激素替代</w:t>
      </w:r>
      <w:r w:rsidRPr="007A1F04">
        <w:t>/</w:t>
      </w:r>
      <w:r w:rsidRPr="007A1F04">
        <w:t>优化为主，并依据复查结果与体感进行精细化滴定。对多数非妊娠人群而言，当</w:t>
      </w:r>
      <w:r w:rsidRPr="007A1F04">
        <w:t xml:space="preserve"> TSH &gt;10 mIU/L </w:t>
      </w:r>
      <w:r w:rsidRPr="007A1F04">
        <w:t>时，临床上更倾向</w:t>
      </w:r>
      <w:r w:rsidRPr="007A1F04">
        <w:t>“</w:t>
      </w:r>
      <w:r w:rsidRPr="007A1F04">
        <w:t>应考虑治疗</w:t>
      </w:r>
      <w:r w:rsidRPr="007A1F04">
        <w:t>”</w:t>
      </w:r>
      <w:r w:rsidRPr="007A1F04">
        <w:t>的路径，但核心仍是个体化与动态监测，而不是过度抑制。甲状腺轴一旦稳定，往往能为精力、耐寒、血脂代谢、肠道蠕动、情绪认知、月经节律及体重管理的可塑性提供明显支撑，也会让后续免疫与</w:t>
      </w:r>
      <w:r w:rsidRPr="007A1F04">
        <w:lastRenderedPageBreak/>
        <w:t>再生治疗在更稳的生理底盘上发挥价值</w:t>
      </w:r>
      <w:r>
        <w:rPr>
          <w:rFonts w:hint="eastAsia"/>
        </w:rPr>
        <w:t>。</w:t>
      </w:r>
    </w:p>
    <w:p w14:paraId="3B0555BE" w14:textId="1791005F" w:rsidR="007A1F04" w:rsidRPr="0083564B" w:rsidRDefault="007A1F04" w:rsidP="0050199C">
      <w:pPr>
        <w:pStyle w:val="0"/>
        <w:rPr>
          <w:b/>
          <w:bCs/>
        </w:rPr>
      </w:pPr>
      <w:r w:rsidRPr="0083564B">
        <w:rPr>
          <w:b/>
          <w:bCs/>
        </w:rPr>
        <w:t xml:space="preserve">1.2 Sex-steroid / early perimenopause support </w:t>
      </w:r>
      <w:r w:rsidRPr="0083564B">
        <w:rPr>
          <w:b/>
          <w:bCs/>
        </w:rPr>
        <w:t>｜</w:t>
      </w:r>
      <w:r w:rsidRPr="0083564B">
        <w:rPr>
          <w:b/>
          <w:bCs/>
        </w:rPr>
        <w:t xml:space="preserve"> </w:t>
      </w:r>
      <w:r w:rsidRPr="0083564B">
        <w:rPr>
          <w:b/>
          <w:bCs/>
        </w:rPr>
        <w:t>性激素与</w:t>
      </w:r>
      <w:r w:rsidRPr="0083564B">
        <w:rPr>
          <w:b/>
          <w:bCs/>
        </w:rPr>
        <w:t>“</w:t>
      </w:r>
      <w:r w:rsidRPr="0083564B">
        <w:rPr>
          <w:b/>
          <w:bCs/>
        </w:rPr>
        <w:t>早衰</w:t>
      </w:r>
      <w:r w:rsidRPr="0083564B">
        <w:rPr>
          <w:b/>
          <w:bCs/>
        </w:rPr>
        <w:t>/</w:t>
      </w:r>
      <w:r w:rsidRPr="0083564B">
        <w:rPr>
          <w:b/>
          <w:bCs/>
        </w:rPr>
        <w:t>围绝经提前</w:t>
      </w:r>
      <w:r w:rsidRPr="0083564B">
        <w:rPr>
          <w:b/>
          <w:bCs/>
        </w:rPr>
        <w:t>”</w:t>
      </w:r>
      <w:r w:rsidRPr="0083564B">
        <w:rPr>
          <w:b/>
          <w:bCs/>
        </w:rPr>
        <w:t>管理</w:t>
      </w:r>
    </w:p>
    <w:p w14:paraId="5EF9E972" w14:textId="397E546B" w:rsidR="007A1F04" w:rsidRDefault="007A1F04" w:rsidP="007A1F04">
      <w:pPr>
        <w:pStyle w:val="00"/>
      </w:pPr>
      <w:r w:rsidRPr="007A1F04">
        <w:t>Your sex hormone axis profile, particularly the extremely low AMH and suboptimal DHEA-S levels, strongly supports the diagnosis of diminished ovarian reserve and insufficient adrenal androgen production. It is crucial to emphasise that AMH holds significant value in assessing ovarian reserve and can also indicate the approximate timing of menopause or premature ovarian insufficiency (POI). Presently, your body may be entering the physiological trajectory of perimenopause earlier than expected. It is therefore advisable to establish a ‘monitorable and adjustable’ hormonal strategy at the earliest opportunity. This approach aims to safeguard sleep quality and emotional stability, manage vasomotor symptoms such as hot flushes and night sweats, maintain bone mass, preserve urogenital health, and uphold overall quality of life. Evidence-based guidelines unequivocally state that standardised hormone therapy represents the most effective approach for alleviating menopausal vasomotor symptoms and urogenital syndrome. It also prevents bone loss and fractures in suitable patient populations.</w:t>
      </w:r>
    </w:p>
    <w:p w14:paraId="0574B13F" w14:textId="4F5A3042" w:rsidR="007A1F04" w:rsidRPr="007A1F04" w:rsidRDefault="007A1F04" w:rsidP="0050199C">
      <w:pPr>
        <w:pStyle w:val="0"/>
      </w:pPr>
      <w:r w:rsidRPr="007A1F04">
        <w:t>您的性激素轴特征</w:t>
      </w:r>
      <w:r>
        <w:rPr>
          <w:rFonts w:hint="eastAsia"/>
        </w:rPr>
        <w:t>，</w:t>
      </w:r>
      <w:r w:rsidRPr="007A1F04">
        <w:t>尤其是</w:t>
      </w:r>
      <w:r w:rsidRPr="007A1F04">
        <w:t xml:space="preserve"> AMH</w:t>
      </w:r>
      <w:r w:rsidRPr="007A1F04">
        <w:t>极低</w:t>
      </w:r>
      <w:r w:rsidRPr="007A1F04">
        <w:t xml:space="preserve"> </w:t>
      </w:r>
      <w:r w:rsidRPr="007A1F04">
        <w:t>与</w:t>
      </w:r>
      <w:r w:rsidRPr="007A1F04">
        <w:t xml:space="preserve"> DHEA-S</w:t>
      </w:r>
      <w:r w:rsidRPr="007A1F04">
        <w:t>偏低</w:t>
      </w:r>
      <w:r w:rsidRPr="007A1F04">
        <w:t>——</w:t>
      </w:r>
      <w:r w:rsidRPr="007A1F04">
        <w:t>更支持</w:t>
      </w:r>
      <w:r w:rsidRPr="007A1F04">
        <w:t>“</w:t>
      </w:r>
      <w:r w:rsidRPr="007A1F04">
        <w:t>卵巢储备下降、肾上腺雄激素底盘不足</w:t>
      </w:r>
      <w:r w:rsidRPr="007A1F04">
        <w:t>”</w:t>
      </w:r>
      <w:r w:rsidRPr="007A1F04">
        <w:t>的方向。需要强调的是：</w:t>
      </w:r>
      <w:r w:rsidRPr="007A1F04">
        <w:t>AMH</w:t>
      </w:r>
      <w:r w:rsidRPr="007A1F04">
        <w:t>对卵巢储备评估</w:t>
      </w:r>
      <w:r>
        <w:rPr>
          <w:rFonts w:hint="eastAsia"/>
        </w:rPr>
        <w:t>具有重要价值</w:t>
      </w:r>
      <w:r w:rsidRPr="007A1F04">
        <w:t>，</w:t>
      </w:r>
      <w:r>
        <w:rPr>
          <w:rFonts w:hint="eastAsia"/>
        </w:rPr>
        <w:t>也能在一定程度上指示</w:t>
      </w:r>
      <w:r w:rsidRPr="007A1F04">
        <w:t>绝经或</w:t>
      </w:r>
      <w:r w:rsidRPr="007A1F04">
        <w:t>POI</w:t>
      </w:r>
      <w:r w:rsidRPr="007A1F04">
        <w:t>发生时间。</w:t>
      </w:r>
      <w:r>
        <w:rPr>
          <w:rFonts w:hint="eastAsia"/>
        </w:rPr>
        <w:t>当前，您的</w:t>
      </w:r>
      <w:r w:rsidRPr="007A1F04">
        <w:rPr>
          <w:rFonts w:hint="eastAsia"/>
        </w:rPr>
        <w:t>身</w:t>
      </w:r>
      <w:r w:rsidRPr="007A1F04">
        <w:t>体可能更早进入围绝经的生理轨道，因此建议尽早建立</w:t>
      </w:r>
      <w:r w:rsidRPr="007A1F04">
        <w:t>“</w:t>
      </w:r>
      <w:r w:rsidRPr="007A1F04">
        <w:t>可随访、可调整</w:t>
      </w:r>
      <w:r w:rsidRPr="007A1F04">
        <w:t>”</w:t>
      </w:r>
      <w:r w:rsidRPr="007A1F04">
        <w:t>的荷尔蒙策略，用于保护睡眠与情绪稳定、潮热盗汗等血管舒缩症状、骨量维持、泌尿生殖道健康与生活质量。循证立场也明确指出，规范的</w:t>
      </w:r>
      <w:r>
        <w:rPr>
          <w:rFonts w:hint="eastAsia"/>
        </w:rPr>
        <w:t>荷尔蒙</w:t>
      </w:r>
      <w:r w:rsidRPr="007A1F04">
        <w:t>治疗是改善更年期血管舒缩症状与泌尿生殖道综合征的最有效手段，并能在合适人群中预防骨丢失与骨折。</w:t>
      </w:r>
    </w:p>
    <w:p w14:paraId="722BC776" w14:textId="77777777" w:rsidR="00121E38" w:rsidRDefault="00121E38" w:rsidP="004D60C3">
      <w:pPr>
        <w:widowControl/>
        <w:spacing w:line="240" w:lineRule="auto"/>
        <w:jc w:val="left"/>
      </w:pPr>
    </w:p>
    <w:p w14:paraId="13B87891" w14:textId="41AC77DE" w:rsidR="004D60C3" w:rsidRPr="00A97B53" w:rsidRDefault="00222674" w:rsidP="004D60C3">
      <w:pPr>
        <w:widowControl/>
        <w:spacing w:line="240" w:lineRule="auto"/>
        <w:jc w:val="left"/>
        <w:rPr>
          <w:b/>
          <w:bCs/>
          <w:sz w:val="28"/>
          <w:szCs w:val="32"/>
        </w:rPr>
      </w:pPr>
      <w:r w:rsidRPr="00A97B53">
        <w:rPr>
          <w:rFonts w:hint="eastAsia"/>
          <w:b/>
          <w:bCs/>
          <w:sz w:val="28"/>
          <w:szCs w:val="32"/>
        </w:rPr>
        <w:t>2</w:t>
      </w:r>
      <w:r w:rsidR="004D60C3" w:rsidRPr="00A97B53">
        <w:rPr>
          <w:b/>
          <w:bCs/>
          <w:sz w:val="28"/>
          <w:szCs w:val="32"/>
        </w:rPr>
        <w:t>) IVNT Drip Selection ｜ 建议静脉营养点滴组合</w:t>
      </w:r>
      <w:r w:rsidR="0050199C" w:rsidRPr="00A97B53">
        <w:rPr>
          <w:rFonts w:hint="eastAsia"/>
          <w:b/>
          <w:bCs/>
          <w:sz w:val="28"/>
          <w:szCs w:val="32"/>
        </w:rPr>
        <w:t>（营养补充与维持）</w:t>
      </w:r>
    </w:p>
    <w:p w14:paraId="42CB08E0" w14:textId="77777777" w:rsidR="00A97B53" w:rsidRDefault="00A97B53" w:rsidP="0083564B">
      <w:pPr>
        <w:pStyle w:val="00"/>
      </w:pPr>
    </w:p>
    <w:p w14:paraId="2C9B649C" w14:textId="334A41CC" w:rsidR="0083564B" w:rsidRDefault="0083564B" w:rsidP="0083564B">
      <w:pPr>
        <w:pStyle w:val="00"/>
      </w:pPr>
      <w:r w:rsidRPr="0083564B">
        <w:t>IVNT is positioned within this protocol as “medical nutritional support”, not as an endpoint of standalone therapy. Its value manifests primarily in three areas: reducing oxidative stress/inflammatory burden, supporting methylation and haematopoietic resilience, and fortifying the mitochondrial energy foundation. This lays the groundwork for BHRT and regenerative therapies. Protocol selection will be dynamically adjusted by clinicians based on liver and kidney function, allergy history, and follow-up trends, emphasising ‘precision and rhythm’ rather than simply stacking doses.</w:t>
      </w:r>
    </w:p>
    <w:p w14:paraId="3B819AAC" w14:textId="05C9DFCD" w:rsidR="007A1F04" w:rsidRDefault="007A1F04" w:rsidP="004D60C3">
      <w:pPr>
        <w:widowControl/>
        <w:spacing w:line="240" w:lineRule="auto"/>
        <w:jc w:val="left"/>
      </w:pPr>
      <w:r w:rsidRPr="007A1F04">
        <w:t>IVNT在本方案中定位为“医学营养支持”，并非单独治疗的终点，其价值主要体现在三件事：降氧化应激/炎症负荷、支撑甲基化与造血韧性、强化线粒体能量底盘，从而为BHRT与再生疗法打好基础。方案选择</w:t>
      </w:r>
      <w:r>
        <w:rPr>
          <w:rFonts w:hint="eastAsia"/>
        </w:rPr>
        <w:t>将</w:t>
      </w:r>
      <w:r w:rsidRPr="007A1F04">
        <w:t>由医生根据肝肾功能、过敏史及复查趋势动态调整，强调“精准与节律”，而不是堆叠剂量。</w:t>
      </w:r>
    </w:p>
    <w:p w14:paraId="451B52B2" w14:textId="74DBB94E" w:rsidR="00222674" w:rsidRDefault="00222674" w:rsidP="00E5430C">
      <w:pPr>
        <w:pStyle w:val="af6"/>
        <w:widowControl/>
        <w:numPr>
          <w:ilvl w:val="0"/>
          <w:numId w:val="5"/>
        </w:numPr>
        <w:spacing w:line="240" w:lineRule="auto"/>
        <w:ind w:firstLineChars="0"/>
        <w:jc w:val="left"/>
      </w:pPr>
      <w:r w:rsidRPr="007A1F04">
        <w:rPr>
          <w:b/>
          <w:bCs/>
        </w:rPr>
        <w:t>IVNT –</w:t>
      </w:r>
      <w:r w:rsidRPr="007A1F04">
        <w:rPr>
          <w:rFonts w:hint="eastAsia"/>
          <w:b/>
          <w:bCs/>
        </w:rPr>
        <w:t xml:space="preserve"> 肝胆排毒 3次/疗程</w:t>
      </w:r>
      <w:r>
        <w:br/>
      </w:r>
      <w:r w:rsidR="007A1F04" w:rsidRPr="007A1F04">
        <w:t>以维C、谷胱甘肽、α硫辛酸为核心，主线目标是氧化还原平衡与肝脏生物转化支持：帮助提升内源性抗氧化能力、支撑代谢通路、降低氧化负荷对炎症信号的放大效应。作为BHRT/再生疗法前的“预处理”，可让身体在更低炎症与更稳代谢的背景下进入下一阶段。</w:t>
      </w:r>
    </w:p>
    <w:p w14:paraId="5BF45E63" w14:textId="38FEFFC7" w:rsidR="00E5430C" w:rsidRDefault="00E5430C" w:rsidP="00E5430C">
      <w:pPr>
        <w:pStyle w:val="af6"/>
        <w:widowControl/>
        <w:numPr>
          <w:ilvl w:val="0"/>
          <w:numId w:val="5"/>
        </w:numPr>
        <w:spacing w:line="240" w:lineRule="auto"/>
        <w:ind w:firstLineChars="0"/>
        <w:jc w:val="left"/>
      </w:pPr>
      <w:r w:rsidRPr="007A1F04">
        <w:rPr>
          <w:b/>
          <w:bCs/>
        </w:rPr>
        <w:t>IVNT –</w:t>
      </w:r>
      <w:r w:rsidR="00222674" w:rsidRPr="007A1F04">
        <w:rPr>
          <w:rFonts w:hint="eastAsia"/>
          <w:b/>
          <w:bCs/>
        </w:rPr>
        <w:t xml:space="preserve"> </w:t>
      </w:r>
      <w:r w:rsidR="00222674" w:rsidRPr="007A1F04">
        <w:rPr>
          <w:b/>
          <w:bCs/>
        </w:rPr>
        <w:t>免疫</w:t>
      </w:r>
      <w:r w:rsidR="00222674" w:rsidRPr="007A1F04">
        <w:rPr>
          <w:rFonts w:hint="eastAsia"/>
          <w:b/>
          <w:bCs/>
        </w:rPr>
        <w:t>激活疗法 3次/疗程</w:t>
      </w:r>
      <w:r w:rsidR="00222674">
        <w:br/>
      </w:r>
      <w:r w:rsidR="007A1F04" w:rsidRPr="007A1F04">
        <w:t>以B族、辅酶Q10、乙酰半胱氨酸等为核心，强调免疫韧性+甲基化-抗氧化联动：B族参与甲基化与红细胞成熟，NAC支撑谷胱甘肽合成，辅酶Q10改善线粒体电子传递效率。</w:t>
      </w:r>
    </w:p>
    <w:p w14:paraId="4F33F86A" w14:textId="689EABEB" w:rsidR="00E5430C" w:rsidRDefault="00222674" w:rsidP="00E5430C">
      <w:pPr>
        <w:pStyle w:val="af6"/>
        <w:widowControl/>
        <w:numPr>
          <w:ilvl w:val="0"/>
          <w:numId w:val="5"/>
        </w:numPr>
        <w:spacing w:line="240" w:lineRule="auto"/>
        <w:ind w:firstLineChars="0"/>
        <w:jc w:val="left"/>
      </w:pPr>
      <w:r w:rsidRPr="007A1F04">
        <w:rPr>
          <w:rFonts w:hint="eastAsia"/>
          <w:b/>
          <w:bCs/>
        </w:rPr>
        <w:t xml:space="preserve">IVNT </w:t>
      </w:r>
      <w:r w:rsidRPr="007A1F04">
        <w:rPr>
          <w:b/>
          <w:bCs/>
        </w:rPr>
        <w:t>–</w:t>
      </w:r>
      <w:r w:rsidRPr="007A1F04">
        <w:rPr>
          <w:rFonts w:hint="eastAsia"/>
          <w:b/>
          <w:bCs/>
        </w:rPr>
        <w:t xml:space="preserve"> 卵巢呵护配方 3次/疗程</w:t>
      </w:r>
      <w:r>
        <w:br/>
      </w:r>
      <w:r w:rsidR="007A1F04" w:rsidRPr="007A1F04">
        <w:t>该配方定位为“卵巢-围绝经的营养支持”，核心围绕叶酸/B12的一碳代谢链，叠加抗氧化与</w:t>
      </w:r>
      <w:r w:rsidR="007A1F04" w:rsidRPr="007A1F04">
        <w:lastRenderedPageBreak/>
        <w:t>线粒体辅因子覆盖，用于在AMH偏低、围绝经提前风险背景下改善“可支持的变量”。它不等同于“直接提升AMH”，但可通过改善睡眠-压力-炎症与营养充分性，降低症状负担并提升荷尔蒙调理的稳定度。</w:t>
      </w:r>
    </w:p>
    <w:p w14:paraId="66828F19" w14:textId="522E9B43" w:rsidR="00E5430C" w:rsidRDefault="00E5430C" w:rsidP="00E5430C">
      <w:pPr>
        <w:pStyle w:val="af6"/>
        <w:widowControl/>
        <w:numPr>
          <w:ilvl w:val="0"/>
          <w:numId w:val="5"/>
        </w:numPr>
        <w:spacing w:line="240" w:lineRule="auto"/>
        <w:ind w:firstLineChars="0"/>
        <w:jc w:val="left"/>
      </w:pPr>
      <w:r w:rsidRPr="0083564B">
        <w:rPr>
          <w:b/>
          <w:bCs/>
        </w:rPr>
        <w:t>Multi-Nutrient Advanced NAD+</w:t>
      </w:r>
      <w:r w:rsidR="00222674" w:rsidRPr="0083564B">
        <w:rPr>
          <w:rFonts w:hint="eastAsia"/>
          <w:b/>
          <w:bCs/>
        </w:rPr>
        <w:t xml:space="preserve"> </w:t>
      </w:r>
      <w:r w:rsidR="00222674">
        <w:br/>
      </w:r>
      <w:r w:rsidR="007A1F04" w:rsidRPr="007A1F04">
        <w:t>NAD+更偏向“线粒体与细胞能量平台”的支持，适用于精力低、恢复差、抗压带宽不足等谱系。在本方案里，它的定位是：当免疫/炎症与荷尔蒙轴正在被纠正时，通过能量平台支持来提升身体承受与修复能力；具体剂量、滴速与频次由医生个体化评估与监测。</w:t>
      </w:r>
    </w:p>
    <w:p w14:paraId="0BD0D901" w14:textId="77777777" w:rsidR="004D60C3" w:rsidRDefault="004D60C3" w:rsidP="004D60C3">
      <w:pPr>
        <w:widowControl/>
        <w:spacing w:line="240" w:lineRule="auto"/>
        <w:jc w:val="left"/>
      </w:pPr>
    </w:p>
    <w:p w14:paraId="0A5B8CA2" w14:textId="73940509" w:rsidR="007A1F04" w:rsidRPr="00A97B53" w:rsidRDefault="00222674" w:rsidP="004D60C3">
      <w:pPr>
        <w:widowControl/>
        <w:spacing w:line="240" w:lineRule="auto"/>
        <w:jc w:val="left"/>
        <w:rPr>
          <w:b/>
          <w:bCs/>
          <w:sz w:val="28"/>
          <w:szCs w:val="32"/>
        </w:rPr>
      </w:pPr>
      <w:r w:rsidRPr="00A97B53">
        <w:rPr>
          <w:rFonts w:hint="eastAsia"/>
          <w:b/>
          <w:bCs/>
          <w:sz w:val="28"/>
          <w:szCs w:val="32"/>
        </w:rPr>
        <w:t>3</w:t>
      </w:r>
      <w:r w:rsidR="004D60C3" w:rsidRPr="00A97B53">
        <w:rPr>
          <w:b/>
          <w:bCs/>
          <w:sz w:val="28"/>
          <w:szCs w:val="32"/>
        </w:rPr>
        <w:t>) Cellular Regeneration ｜ 细胞再生疗法（干细胞）</w:t>
      </w:r>
    </w:p>
    <w:p w14:paraId="38269282" w14:textId="77777777" w:rsidR="0083564B" w:rsidRPr="007A1F04" w:rsidRDefault="0083564B" w:rsidP="004D60C3">
      <w:pPr>
        <w:widowControl/>
        <w:spacing w:line="240" w:lineRule="auto"/>
        <w:jc w:val="left"/>
        <w:rPr>
          <w:b/>
          <w:bCs/>
        </w:rPr>
      </w:pPr>
    </w:p>
    <w:p w14:paraId="6A1522EB" w14:textId="22876135" w:rsidR="0083564B" w:rsidRDefault="0083564B" w:rsidP="0083564B">
      <w:pPr>
        <w:pStyle w:val="0"/>
        <w:rPr>
          <w:b/>
          <w:bCs/>
        </w:rPr>
      </w:pPr>
      <w:r>
        <w:rPr>
          <w:rFonts w:hint="eastAsia"/>
          <w:b/>
          <w:bCs/>
        </w:rPr>
        <w:t>3</w:t>
      </w:r>
      <w:r w:rsidRPr="0083564B">
        <w:rPr>
          <w:b/>
          <w:bCs/>
        </w:rPr>
        <w:t>.1 Clinical positioning</w:t>
      </w:r>
      <w:r w:rsidRPr="0083564B">
        <w:rPr>
          <w:b/>
          <w:bCs/>
        </w:rPr>
        <w:t>｜临床定位（</w:t>
      </w:r>
      <w:r w:rsidRPr="0083564B">
        <w:rPr>
          <w:b/>
          <w:bCs/>
        </w:rPr>
        <w:t>“</w:t>
      </w:r>
      <w:r w:rsidRPr="0083564B">
        <w:rPr>
          <w:b/>
          <w:bCs/>
        </w:rPr>
        <w:t>年轻态调理</w:t>
      </w:r>
      <w:r w:rsidRPr="0083564B">
        <w:rPr>
          <w:b/>
          <w:bCs/>
        </w:rPr>
        <w:t>”</w:t>
      </w:r>
      <w:r w:rsidRPr="0083564B">
        <w:rPr>
          <w:b/>
          <w:bCs/>
        </w:rPr>
        <w:t>的医学逻辑）</w:t>
      </w:r>
    </w:p>
    <w:p w14:paraId="71418515" w14:textId="04E80525" w:rsidR="0083564B" w:rsidRDefault="0083564B" w:rsidP="0083564B">
      <w:pPr>
        <w:pStyle w:val="00"/>
      </w:pPr>
      <w:r w:rsidRPr="0083564B">
        <w:t>Mesenchymal stem cell (MSC)-based therapy is best positioned as a regenerative + immunomodulatory intervention that helps recalibrate chronic low-grade inflammation, support tissue microenvironment repair, and improve physiologic resilience. It does not replace standard disease management, and the magnitude of benefit varies by baseline inflammation burden, endocrine reserve, and target-organ microenvironment. In the “young-state” framework, MSCs are typically used to optimize internal terrain—so subsequent endocrine optimization (BHRT) and nutritional rebuilding yield more stable, longer-lasting functional gains.</w:t>
      </w:r>
    </w:p>
    <w:p w14:paraId="7A5101EB" w14:textId="6DFB1AEF" w:rsidR="0083564B" w:rsidRDefault="0083564B" w:rsidP="0083564B">
      <w:pPr>
        <w:pStyle w:val="0"/>
      </w:pPr>
      <w:r w:rsidRPr="0083564B">
        <w:t>间充质干细胞（</w:t>
      </w:r>
      <w:r w:rsidRPr="0083564B">
        <w:t>MSC</w:t>
      </w:r>
      <w:r w:rsidRPr="0083564B">
        <w:t>）更适合被定位为</w:t>
      </w:r>
      <w:r w:rsidRPr="0083564B">
        <w:t>“</w:t>
      </w:r>
      <w:r w:rsidRPr="0083564B">
        <w:t>再生修复</w:t>
      </w:r>
      <w:r w:rsidRPr="0083564B">
        <w:t xml:space="preserve"> + </w:t>
      </w:r>
      <w:r w:rsidRPr="0083564B">
        <w:t>免疫调节</w:t>
      </w:r>
      <w:r w:rsidRPr="0083564B">
        <w:t>”</w:t>
      </w:r>
      <w:r w:rsidRPr="0083564B">
        <w:t>型干预：通过改善慢性低度炎症、修复组织微环境、提升机体韧性来实现</w:t>
      </w:r>
      <w:r w:rsidRPr="0083564B">
        <w:t>“</w:t>
      </w:r>
      <w:r w:rsidRPr="0083564B">
        <w:t>年轻态</w:t>
      </w:r>
      <w:r w:rsidRPr="0083564B">
        <w:t>”</w:t>
      </w:r>
      <w:r w:rsidRPr="0083564B">
        <w:t>的系统性优化。它不能替代常规疾病治疗，个体反应与基础炎症负荷、内分泌储备、靶器官微环境密切相关。在</w:t>
      </w:r>
      <w:r w:rsidRPr="0083564B">
        <w:t>“</w:t>
      </w:r>
      <w:r w:rsidRPr="0083564B">
        <w:t>年轻态界限</w:t>
      </w:r>
      <w:r w:rsidRPr="0083564B">
        <w:t>”</w:t>
      </w:r>
      <w:r w:rsidRPr="0083564B">
        <w:t>已确认的前提下，</w:t>
      </w:r>
      <w:r w:rsidRPr="0083564B">
        <w:t>MSC</w:t>
      </w:r>
      <w:r w:rsidRPr="0083564B">
        <w:t>的价值在于先把</w:t>
      </w:r>
      <w:r w:rsidRPr="0083564B">
        <w:t>“</w:t>
      </w:r>
      <w:r w:rsidRPr="0083564B">
        <w:t>内环境地基</w:t>
      </w:r>
      <w:r w:rsidRPr="0083564B">
        <w:t>”</w:t>
      </w:r>
      <w:r w:rsidRPr="0083564B">
        <w:t>打稳，使</w:t>
      </w:r>
      <w:r w:rsidRPr="0083564B">
        <w:t>BHRT</w:t>
      </w:r>
      <w:r w:rsidRPr="0083564B">
        <w:t>与营养重建更容易达到稳定、可持续的效果。</w:t>
      </w:r>
    </w:p>
    <w:p w14:paraId="6741723B" w14:textId="01C57C06" w:rsidR="0083564B" w:rsidRPr="0083564B" w:rsidRDefault="0083564B" w:rsidP="0083564B">
      <w:pPr>
        <w:pStyle w:val="0"/>
        <w:rPr>
          <w:b/>
          <w:bCs/>
        </w:rPr>
      </w:pPr>
      <w:r w:rsidRPr="0083564B">
        <w:rPr>
          <w:rFonts w:hint="eastAsia"/>
          <w:b/>
          <w:bCs/>
        </w:rPr>
        <w:t xml:space="preserve">3.2 </w:t>
      </w:r>
      <w:r w:rsidRPr="0083564B">
        <w:rPr>
          <w:b/>
          <w:bCs/>
        </w:rPr>
        <w:t>Immunomodulatory mechanisms</w:t>
      </w:r>
      <w:r w:rsidRPr="0083564B">
        <w:rPr>
          <w:b/>
          <w:bCs/>
        </w:rPr>
        <w:t>｜免疫调节机制</w:t>
      </w:r>
    </w:p>
    <w:p w14:paraId="1C2E7020" w14:textId="2FA255E2" w:rsidR="007A1F04" w:rsidRDefault="0083564B" w:rsidP="0083564B">
      <w:pPr>
        <w:pStyle w:val="00"/>
      </w:pPr>
      <w:r w:rsidRPr="0083564B">
        <w:t xml:space="preserve">A core scientific rationale for MSCs is their broad immunomodulatory capacity—largely mediated by paracrine signaling (secretome/extracellular vesicles) and immune-cell </w:t>
      </w:r>
      <w:proofErr w:type="gramStart"/>
      <w:r w:rsidRPr="0083564B">
        <w:t>cross-talk</w:t>
      </w:r>
      <w:proofErr w:type="gramEnd"/>
      <w:r w:rsidRPr="0083564B">
        <w:t>. Across reviews, MSCs are described as promoting regulatory immune balance (e.g., supporting Treg function, shifting macrophage polarization toward a resolving phenotype, and reducing excessive pro-inflammatory signaling), which can help lower persistent immune activation and restore immune tolerance.</w:t>
      </w:r>
    </w:p>
    <w:p w14:paraId="0451AB7E" w14:textId="39BDF1BD" w:rsidR="0083564B" w:rsidRDefault="0083564B" w:rsidP="0083564B">
      <w:pPr>
        <w:pStyle w:val="0"/>
      </w:pPr>
      <w:r w:rsidRPr="0083564B">
        <w:t>MSC</w:t>
      </w:r>
      <w:r w:rsidRPr="0083564B">
        <w:t>的核心科学依据之一是其广谱免疫调节能力，主要通过旁分泌信号（分泌组</w:t>
      </w:r>
      <w:r w:rsidRPr="0083564B">
        <w:t>/</w:t>
      </w:r>
      <w:r w:rsidRPr="0083564B">
        <w:t>外泌体等）与免疫细胞互作实现。多篇综述指出，</w:t>
      </w:r>
      <w:r w:rsidRPr="0083564B">
        <w:t>MSC</w:t>
      </w:r>
      <w:r w:rsidRPr="0083564B">
        <w:t>可促进免疫向</w:t>
      </w:r>
      <w:r w:rsidRPr="0083564B">
        <w:t>“</w:t>
      </w:r>
      <w:r w:rsidRPr="0083564B">
        <w:t>调节</w:t>
      </w:r>
      <w:r w:rsidRPr="0083564B">
        <w:t>—</w:t>
      </w:r>
      <w:r w:rsidRPr="0083564B">
        <w:t>耐受</w:t>
      </w:r>
      <w:r w:rsidRPr="0083564B">
        <w:t>”</w:t>
      </w:r>
      <w:r w:rsidRPr="0083564B">
        <w:t>方向回归（例如增强调节性免疫、推动巨噬细胞向</w:t>
      </w:r>
      <w:r w:rsidRPr="0083564B">
        <w:t>“</w:t>
      </w:r>
      <w:r w:rsidRPr="0083564B">
        <w:t>消炎修复型</w:t>
      </w:r>
      <w:r w:rsidRPr="0083564B">
        <w:t>”</w:t>
      </w:r>
      <w:r w:rsidRPr="0083564B">
        <w:t>转化、降低过度促炎信号），从而帮助减轻持续性免疫激活、改善免疫耐受。</w:t>
      </w:r>
    </w:p>
    <w:p w14:paraId="54821BDC" w14:textId="40FB3838" w:rsidR="0083564B" w:rsidRDefault="0083564B" w:rsidP="0083564B">
      <w:pPr>
        <w:pStyle w:val="0"/>
        <w:rPr>
          <w:b/>
          <w:bCs/>
        </w:rPr>
      </w:pPr>
      <w:r w:rsidRPr="0083564B">
        <w:rPr>
          <w:rFonts w:hint="eastAsia"/>
          <w:b/>
          <w:bCs/>
        </w:rPr>
        <w:t xml:space="preserve">3.3 </w:t>
      </w:r>
      <w:r w:rsidRPr="0083564B">
        <w:rPr>
          <w:b/>
          <w:bCs/>
        </w:rPr>
        <w:t>Why MSCs may support ovarian function</w:t>
      </w:r>
      <w:r w:rsidRPr="0083564B">
        <w:rPr>
          <w:b/>
          <w:bCs/>
        </w:rPr>
        <w:t>｜协助卵巢功能恢复</w:t>
      </w:r>
    </w:p>
    <w:p w14:paraId="60E9E1F9" w14:textId="49A8468E" w:rsidR="0083564B" w:rsidRDefault="0083564B" w:rsidP="0083564B">
      <w:pPr>
        <w:pStyle w:val="00"/>
      </w:pPr>
      <w:r w:rsidRPr="0083564B">
        <w:t>In ovarian aging/insufficiency models, MSCs are hypothesized to support ovarian function primarily by improving the ovarian microenvironment—reducing inflammatory stress, supporting angiogenesis and stromal repair, and helping protect granulosa cells from apoptosis—thereby facilitating follicular survival and endocrine signaling.</w:t>
      </w:r>
    </w:p>
    <w:p w14:paraId="3CF3111D" w14:textId="3D874BA9" w:rsidR="0083564B" w:rsidRDefault="0083564B" w:rsidP="0083564B">
      <w:pPr>
        <w:pStyle w:val="0"/>
      </w:pPr>
      <w:r w:rsidRPr="0083564B">
        <w:t>在卵巢早衰</w:t>
      </w:r>
      <w:r w:rsidRPr="0083564B">
        <w:t>/</w:t>
      </w:r>
      <w:r w:rsidRPr="0083564B">
        <w:t>功能减退的研究中，</w:t>
      </w:r>
      <w:r w:rsidRPr="0083564B">
        <w:t>MSC</w:t>
      </w:r>
      <w:r w:rsidRPr="0083564B">
        <w:t>被认为主要通过改善卵巢微环境来发挥潜在作用：降低炎症与氧化应激、支持血管生成与间质修复、减少颗粒细胞凋亡，从而为卵泡存活与内分泌信号提供更好的</w:t>
      </w:r>
      <w:r w:rsidRPr="0083564B">
        <w:t>“</w:t>
      </w:r>
      <w:r w:rsidRPr="0083564B">
        <w:t>土壤</w:t>
      </w:r>
      <w:r w:rsidRPr="0083564B">
        <w:t>”</w:t>
      </w:r>
      <w:r w:rsidRPr="0083564B">
        <w:t>。</w:t>
      </w:r>
    </w:p>
    <w:p w14:paraId="51AC207A" w14:textId="6BF8F36A" w:rsidR="0083564B" w:rsidRPr="0083564B" w:rsidRDefault="0083564B" w:rsidP="0083564B">
      <w:pPr>
        <w:pStyle w:val="0"/>
        <w:rPr>
          <w:b/>
          <w:bCs/>
        </w:rPr>
      </w:pPr>
      <w:r w:rsidRPr="0083564B">
        <w:rPr>
          <w:rFonts w:hint="eastAsia"/>
          <w:b/>
          <w:bCs/>
        </w:rPr>
        <w:lastRenderedPageBreak/>
        <w:t xml:space="preserve">3.4 </w:t>
      </w:r>
      <w:r w:rsidRPr="0083564B">
        <w:rPr>
          <w:b/>
          <w:bCs/>
        </w:rPr>
        <w:t>How MSC synergizes with BHRT</w:t>
      </w:r>
      <w:r w:rsidRPr="0083564B">
        <w:rPr>
          <w:b/>
          <w:bCs/>
        </w:rPr>
        <w:t>｜与</w:t>
      </w:r>
      <w:r w:rsidRPr="0083564B">
        <w:rPr>
          <w:b/>
          <w:bCs/>
        </w:rPr>
        <w:t>BHRT</w:t>
      </w:r>
      <w:r w:rsidRPr="0083564B">
        <w:rPr>
          <w:b/>
          <w:bCs/>
        </w:rPr>
        <w:t>协同：为什么</w:t>
      </w:r>
      <w:r w:rsidRPr="0083564B">
        <w:rPr>
          <w:b/>
          <w:bCs/>
        </w:rPr>
        <w:t>“1+1&gt;2”</w:t>
      </w:r>
    </w:p>
    <w:p w14:paraId="1869F268" w14:textId="38D7AE2A" w:rsidR="0083564B" w:rsidRDefault="0083564B" w:rsidP="0083564B">
      <w:pPr>
        <w:pStyle w:val="00"/>
      </w:pPr>
      <w:r w:rsidRPr="0083564B">
        <w:t>BHRT primarily restores endocrine signaling and rhythmic stability (thyroid/adrenal/sex-steroid axes), while MSCs may improve the inflammatory–immune milieu and tissue responsiveness. In practice, MSCs are used to “quiet the background noise” (immune activation, microinflammation, oxidative stress), so BHRT dosing becomes more physiologic, symptoms stabilize faster, and functional gains (sleep, recovery, mood, skin/hair, musculoskeletal resilience) are more durable.</w:t>
      </w:r>
    </w:p>
    <w:p w14:paraId="46009E8C" w14:textId="116D130C" w:rsidR="004D60C3" w:rsidRPr="00B40008" w:rsidRDefault="0083564B" w:rsidP="00B40008">
      <w:pPr>
        <w:pStyle w:val="0"/>
      </w:pPr>
      <w:r w:rsidRPr="0083564B">
        <w:t>BHRT</w:t>
      </w:r>
      <w:r w:rsidRPr="0083564B">
        <w:t>的核心是恢复内分泌信号与节律稳定（甲状腺</w:t>
      </w:r>
      <w:r w:rsidRPr="0083564B">
        <w:t>/</w:t>
      </w:r>
      <w:r w:rsidRPr="0083564B">
        <w:t>肾上腺</w:t>
      </w:r>
      <w:r w:rsidRPr="0083564B">
        <w:t>/</w:t>
      </w:r>
      <w:r w:rsidRPr="0083564B">
        <w:t>性激素轴），而</w:t>
      </w:r>
      <w:r w:rsidRPr="0083564B">
        <w:t>MSC</w:t>
      </w:r>
      <w:r w:rsidRPr="0083564B">
        <w:t>更偏向于改善炎症</w:t>
      </w:r>
      <w:r w:rsidRPr="0083564B">
        <w:t>—</w:t>
      </w:r>
      <w:r w:rsidRPr="0083564B">
        <w:t>免疫背景与组织反应性。临床组合的逻辑是：用</w:t>
      </w:r>
      <w:r w:rsidRPr="0083564B">
        <w:t>MSC</w:t>
      </w:r>
      <w:r w:rsidRPr="0083564B">
        <w:t>把</w:t>
      </w:r>
      <w:r w:rsidRPr="0083564B">
        <w:t>“</w:t>
      </w:r>
      <w:r w:rsidRPr="0083564B">
        <w:t>底噪</w:t>
      </w:r>
      <w:r w:rsidRPr="0083564B">
        <w:t>”</w:t>
      </w:r>
      <w:r w:rsidRPr="0083564B">
        <w:t>（免疫激活、微炎症、氧化应激）降下来，让</w:t>
      </w:r>
      <w:r w:rsidRPr="0083564B">
        <w:t>BHRT</w:t>
      </w:r>
      <w:r w:rsidRPr="0083564B">
        <w:t>更接近生理剂量、更容易获得症状稳定，并使睡眠、恢复、情绪、皮肤毛发、运动与骨肌韧性等改善更持久。</w:t>
      </w:r>
    </w:p>
    <w:p w14:paraId="20CF4D6F" w14:textId="77777777" w:rsidR="004D60C3" w:rsidRDefault="004D60C3" w:rsidP="004D60C3">
      <w:pPr>
        <w:pStyle w:val="0"/>
      </w:pPr>
    </w:p>
    <w:p w14:paraId="4BDA565E" w14:textId="77777777" w:rsidR="004D60C3" w:rsidRDefault="004D60C3" w:rsidP="004D60C3">
      <w:pPr>
        <w:pStyle w:val="00"/>
        <w:jc w:val="right"/>
      </w:pPr>
      <w:r>
        <w:rPr>
          <w:rFonts w:hint="eastAsia"/>
        </w:rPr>
        <w:t>Functional</w:t>
      </w:r>
      <w:r w:rsidRPr="009253BD">
        <w:t xml:space="preserve"> </w:t>
      </w:r>
      <w:r>
        <w:t>M</w:t>
      </w:r>
      <w:r w:rsidRPr="009253BD">
        <w:t xml:space="preserve">edical </w:t>
      </w:r>
      <w:r>
        <w:t>T</w:t>
      </w:r>
      <w:r w:rsidRPr="009253BD">
        <w:t>eam</w:t>
      </w:r>
      <w:r>
        <w:t xml:space="preserve"> from </w:t>
      </w:r>
      <w:r w:rsidRPr="009253BD">
        <w:t>Be.U Med</w:t>
      </w:r>
    </w:p>
    <w:p w14:paraId="12303316" w14:textId="77777777" w:rsidR="004D60C3" w:rsidRDefault="004D60C3" w:rsidP="004D60C3">
      <w:pPr>
        <w:widowControl/>
        <w:spacing w:line="240" w:lineRule="auto"/>
        <w:jc w:val="right"/>
        <w:rPr>
          <w:b/>
          <w:bCs/>
        </w:rPr>
      </w:pPr>
      <w:r w:rsidRPr="00F81CAD">
        <w:rPr>
          <w:rFonts w:hint="eastAsia"/>
          <w:b/>
          <w:bCs/>
        </w:rPr>
        <w:t xml:space="preserve">Be.U Med </w:t>
      </w:r>
      <w:r>
        <w:rPr>
          <w:rFonts w:hint="eastAsia"/>
          <w:b/>
          <w:bCs/>
        </w:rPr>
        <w:t>功能医学</w:t>
      </w:r>
      <w:r w:rsidRPr="00F81CAD">
        <w:rPr>
          <w:rFonts w:hint="eastAsia"/>
          <w:b/>
          <w:bCs/>
        </w:rPr>
        <w:t>团队</w:t>
      </w:r>
    </w:p>
    <w:p w14:paraId="5E248BC9" w14:textId="48763E67" w:rsidR="004D60C3" w:rsidRDefault="004D60C3" w:rsidP="004D60C3">
      <w:pPr>
        <w:widowControl/>
        <w:spacing w:line="240" w:lineRule="auto"/>
        <w:jc w:val="right"/>
        <w:rPr>
          <w:rFonts w:cs="Times New Roman"/>
          <w:b/>
          <w:sz w:val="36"/>
          <w:szCs w:val="44"/>
        </w:rPr>
      </w:pPr>
      <w:r>
        <w:rPr>
          <w:rFonts w:hint="eastAsia"/>
        </w:rPr>
        <w:t xml:space="preserve"> 2025 / 1</w:t>
      </w:r>
      <w:r w:rsidR="00222674">
        <w:rPr>
          <w:rFonts w:hint="eastAsia"/>
        </w:rPr>
        <w:t>2</w:t>
      </w:r>
      <w:r>
        <w:rPr>
          <w:rFonts w:hint="eastAsia"/>
        </w:rPr>
        <w:t xml:space="preserve"> / </w:t>
      </w:r>
      <w:r w:rsidR="00867ED1">
        <w:rPr>
          <w:rFonts w:hint="eastAsia"/>
        </w:rPr>
        <w:t>2</w:t>
      </w:r>
      <w:r w:rsidR="00222674">
        <w:rPr>
          <w:rFonts w:hint="eastAsia"/>
        </w:rPr>
        <w:t>1</w:t>
      </w:r>
      <w:r>
        <w:rPr>
          <w:rFonts w:hint="eastAsia"/>
        </w:rPr>
        <w:t xml:space="preserve"> /</w:t>
      </w:r>
    </w:p>
    <w:p w14:paraId="6D21698A" w14:textId="056820E7" w:rsidR="00C0663D" w:rsidRPr="004D60C3" w:rsidRDefault="00C0663D" w:rsidP="004D60C3">
      <w:pPr>
        <w:widowControl/>
        <w:spacing w:line="240" w:lineRule="auto"/>
        <w:jc w:val="right"/>
        <w:rPr>
          <w:rFonts w:cs="Times New Roman"/>
          <w:b/>
          <w:sz w:val="36"/>
          <w:szCs w:val="44"/>
        </w:rPr>
      </w:pPr>
    </w:p>
    <w:sectPr w:rsidR="00C0663D" w:rsidRPr="004D60C3">
      <w:headerReference w:type="even" r:id="rId7"/>
      <w:headerReference w:type="default" r:id="rId8"/>
      <w:footerReference w:type="default" r:id="rId9"/>
      <w:pgSz w:w="11901" w:h="16817"/>
      <w:pgMar w:top="1418" w:right="1134" w:bottom="1021" w:left="119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43E6E" w14:textId="77777777" w:rsidR="009967D1" w:rsidRDefault="0080134E">
      <w:pPr>
        <w:spacing w:line="240" w:lineRule="auto"/>
      </w:pPr>
      <w:r>
        <w:separator/>
      </w:r>
    </w:p>
  </w:endnote>
  <w:endnote w:type="continuationSeparator" w:id="0">
    <w:p w14:paraId="102985E5" w14:textId="77777777" w:rsidR="009967D1" w:rsidRDefault="008013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华文楷体">
    <w:altName w:val="STKaiti"/>
    <w:panose1 w:val="02010600040101010101"/>
    <w:charset w:val="86"/>
    <w:family w:val="auto"/>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D4029" w14:textId="0F1A26F2" w:rsidR="007D1F2B" w:rsidRDefault="007D1F2B">
    <w:pPr>
      <w:pStyle w:val="a9"/>
    </w:pPr>
    <w:r>
      <w:rPr>
        <w:noProof/>
      </w:rPr>
      <w:drawing>
        <wp:anchor distT="0" distB="0" distL="114300" distR="114300" simplePos="0" relativeHeight="251658240" behindDoc="0" locked="0" layoutInCell="1" allowOverlap="1" wp14:anchorId="3FAA1564" wp14:editId="2F7A0C84">
          <wp:simplePos x="0" y="0"/>
          <wp:positionH relativeFrom="column">
            <wp:posOffset>2437961</wp:posOffset>
          </wp:positionH>
          <wp:positionV relativeFrom="paragraph">
            <wp:posOffset>276225</wp:posOffset>
          </wp:positionV>
          <wp:extent cx="1172060" cy="232469"/>
          <wp:effectExtent l="0" t="0" r="0" b="0"/>
          <wp:wrapNone/>
          <wp:docPr id="1337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87592" name="图片 1782087592"/>
                  <pic:cNvPicPr/>
                </pic:nvPicPr>
                <pic:blipFill>
                  <a:blip r:embed="rId1">
                    <a:extLst>
                      <a:ext uri="{28A0092B-C50C-407E-A947-70E740481C1C}">
                        <a14:useLocalDpi xmlns:a14="http://schemas.microsoft.com/office/drawing/2010/main" val="0"/>
                      </a:ext>
                    </a:extLst>
                  </a:blip>
                  <a:stretch>
                    <a:fillRect/>
                  </a:stretch>
                </pic:blipFill>
                <pic:spPr>
                  <a:xfrm>
                    <a:off x="0" y="0"/>
                    <a:ext cx="1172060" cy="23246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3DDF9" w14:textId="77777777" w:rsidR="009967D1" w:rsidRDefault="0080134E">
      <w:pPr>
        <w:spacing w:line="240" w:lineRule="auto"/>
      </w:pPr>
      <w:r>
        <w:separator/>
      </w:r>
    </w:p>
  </w:footnote>
  <w:footnote w:type="continuationSeparator" w:id="0">
    <w:p w14:paraId="05DF48E8" w14:textId="77777777" w:rsidR="009967D1" w:rsidRDefault="008013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7"/>
      </w:rPr>
      <w:id w:val="-493497296"/>
      <w:docPartObj>
        <w:docPartGallery w:val="Page Numbers (Top of Page)"/>
        <w:docPartUnique/>
      </w:docPartObj>
    </w:sdtPr>
    <w:sdtEndPr>
      <w:rPr>
        <w:rStyle w:val="af7"/>
      </w:rPr>
    </w:sdtEndPr>
    <w:sdtContent>
      <w:p w14:paraId="0C0AA311" w14:textId="1FA66BBD" w:rsidR="007D1F2B" w:rsidRDefault="007D1F2B" w:rsidP="00C826CB">
        <w:pPr>
          <w:pStyle w:val="ab"/>
          <w:framePr w:wrap="none" w:vAnchor="text" w:hAnchor="margin" w:xAlign="right" w:y="1"/>
          <w:rPr>
            <w:rStyle w:val="af7"/>
          </w:rPr>
        </w:pPr>
        <w:r>
          <w:rPr>
            <w:rStyle w:val="af7"/>
          </w:rPr>
          <w:fldChar w:fldCharType="begin"/>
        </w:r>
        <w:r>
          <w:rPr>
            <w:rStyle w:val="af7"/>
          </w:rPr>
          <w:instrText xml:space="preserve"> PAGE </w:instrText>
        </w:r>
        <w:r>
          <w:rPr>
            <w:rStyle w:val="af7"/>
          </w:rPr>
          <w:fldChar w:fldCharType="separate"/>
        </w:r>
        <w:r>
          <w:rPr>
            <w:rStyle w:val="af7"/>
          </w:rPr>
          <w:fldChar w:fldCharType="end"/>
        </w:r>
      </w:p>
    </w:sdtContent>
  </w:sdt>
  <w:p w14:paraId="2D138A80" w14:textId="77777777" w:rsidR="007D1F2B" w:rsidRDefault="007D1F2B" w:rsidP="007D1F2B">
    <w:pPr>
      <w:pStyle w:val="ab"/>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7"/>
      </w:rPr>
      <w:id w:val="438028781"/>
      <w:docPartObj>
        <w:docPartGallery w:val="Page Numbers (Top of Page)"/>
        <w:docPartUnique/>
      </w:docPartObj>
    </w:sdtPr>
    <w:sdtEndPr>
      <w:rPr>
        <w:rStyle w:val="af7"/>
      </w:rPr>
    </w:sdtEndPr>
    <w:sdtContent>
      <w:p w14:paraId="68072955" w14:textId="730BC219" w:rsidR="007D1F2B" w:rsidRDefault="007D1F2B" w:rsidP="005D6C46">
        <w:pPr>
          <w:pStyle w:val="ab"/>
          <w:framePr w:wrap="none" w:vAnchor="text" w:hAnchor="page" w:x="10590" w:y="5"/>
          <w:rPr>
            <w:rStyle w:val="af7"/>
          </w:rPr>
        </w:pPr>
        <w:r>
          <w:rPr>
            <w:rStyle w:val="af7"/>
          </w:rPr>
          <w:fldChar w:fldCharType="begin"/>
        </w:r>
        <w:r>
          <w:rPr>
            <w:rStyle w:val="af7"/>
          </w:rPr>
          <w:instrText xml:space="preserve"> PAGE </w:instrText>
        </w:r>
        <w:r>
          <w:rPr>
            <w:rStyle w:val="af7"/>
          </w:rPr>
          <w:fldChar w:fldCharType="separate"/>
        </w:r>
        <w:r>
          <w:rPr>
            <w:rStyle w:val="af7"/>
            <w:noProof/>
          </w:rPr>
          <w:t>1</w:t>
        </w:r>
        <w:r>
          <w:rPr>
            <w:rStyle w:val="af7"/>
          </w:rPr>
          <w:fldChar w:fldCharType="end"/>
        </w:r>
      </w:p>
    </w:sdtContent>
  </w:sdt>
  <w:p w14:paraId="7A632899" w14:textId="77777777" w:rsidR="007D1F2B" w:rsidRDefault="007D1F2B" w:rsidP="007D1F2B">
    <w:pPr>
      <w:pStyle w:val="ab"/>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D2AB9"/>
    <w:multiLevelType w:val="hybridMultilevel"/>
    <w:tmpl w:val="B58A1092"/>
    <w:lvl w:ilvl="0" w:tplc="04090003">
      <w:start w:val="1"/>
      <w:numFmt w:val="bullet"/>
      <w:lvlText w:val=""/>
      <w:lvlJc w:val="left"/>
      <w:pPr>
        <w:ind w:left="860" w:hanging="440"/>
      </w:pPr>
      <w:rPr>
        <w:rFonts w:ascii="Wingdings" w:hAnsi="Wingdings" w:hint="default"/>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1" w15:restartNumberingAfterBreak="0">
    <w:nsid w:val="14C62BE1"/>
    <w:multiLevelType w:val="hybridMultilevel"/>
    <w:tmpl w:val="3DAEBF48"/>
    <w:lvl w:ilvl="0" w:tplc="04090003">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42BC786C"/>
    <w:multiLevelType w:val="hybridMultilevel"/>
    <w:tmpl w:val="50DC8C94"/>
    <w:lvl w:ilvl="0" w:tplc="04090003">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 w15:restartNumberingAfterBreak="0">
    <w:nsid w:val="57ED75DE"/>
    <w:multiLevelType w:val="hybridMultilevel"/>
    <w:tmpl w:val="3490FB90"/>
    <w:lvl w:ilvl="0" w:tplc="04090003">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 w15:restartNumberingAfterBreak="0">
    <w:nsid w:val="70D44B0E"/>
    <w:multiLevelType w:val="hybridMultilevel"/>
    <w:tmpl w:val="3FD8B83A"/>
    <w:lvl w:ilvl="0" w:tplc="04090003">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 w15:restartNumberingAfterBreak="0">
    <w:nsid w:val="751E43D0"/>
    <w:multiLevelType w:val="hybridMultilevel"/>
    <w:tmpl w:val="ADD40F6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977223961">
    <w:abstractNumId w:val="5"/>
  </w:num>
  <w:num w:numId="2" w16cid:durableId="725228807">
    <w:abstractNumId w:val="0"/>
  </w:num>
  <w:num w:numId="3" w16cid:durableId="1603680551">
    <w:abstractNumId w:val="2"/>
  </w:num>
  <w:num w:numId="4" w16cid:durableId="432283603">
    <w:abstractNumId w:val="1"/>
  </w:num>
  <w:num w:numId="5" w16cid:durableId="1647200033">
    <w:abstractNumId w:val="4"/>
  </w:num>
  <w:num w:numId="6" w16cid:durableId="1941931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25"/>
    <w:rsid w:val="000005FC"/>
    <w:rsid w:val="00006927"/>
    <w:rsid w:val="000113A5"/>
    <w:rsid w:val="00017855"/>
    <w:rsid w:val="000204CB"/>
    <w:rsid w:val="0002183F"/>
    <w:rsid w:val="00021ED0"/>
    <w:rsid w:val="0002692B"/>
    <w:rsid w:val="00027CC6"/>
    <w:rsid w:val="0003252F"/>
    <w:rsid w:val="000436D1"/>
    <w:rsid w:val="00045874"/>
    <w:rsid w:val="000469CF"/>
    <w:rsid w:val="0004705E"/>
    <w:rsid w:val="0005007A"/>
    <w:rsid w:val="00050A37"/>
    <w:rsid w:val="000602DC"/>
    <w:rsid w:val="00062EC4"/>
    <w:rsid w:val="00071355"/>
    <w:rsid w:val="00072355"/>
    <w:rsid w:val="00075BC0"/>
    <w:rsid w:val="00076E6C"/>
    <w:rsid w:val="0008554E"/>
    <w:rsid w:val="00095238"/>
    <w:rsid w:val="00095D03"/>
    <w:rsid w:val="00096C38"/>
    <w:rsid w:val="000A3331"/>
    <w:rsid w:val="000A3D0E"/>
    <w:rsid w:val="000C2264"/>
    <w:rsid w:val="000C4D01"/>
    <w:rsid w:val="000D1914"/>
    <w:rsid w:val="000D6E9F"/>
    <w:rsid w:val="000D7FA7"/>
    <w:rsid w:val="000F0AFF"/>
    <w:rsid w:val="000F0DE4"/>
    <w:rsid w:val="000F1DC0"/>
    <w:rsid w:val="000F3860"/>
    <w:rsid w:val="000F5890"/>
    <w:rsid w:val="000F7B14"/>
    <w:rsid w:val="00104667"/>
    <w:rsid w:val="0010662E"/>
    <w:rsid w:val="00107D4C"/>
    <w:rsid w:val="0011712E"/>
    <w:rsid w:val="00121E38"/>
    <w:rsid w:val="00123000"/>
    <w:rsid w:val="00124173"/>
    <w:rsid w:val="00124A9C"/>
    <w:rsid w:val="001304BB"/>
    <w:rsid w:val="001331CC"/>
    <w:rsid w:val="00136B3F"/>
    <w:rsid w:val="00136D52"/>
    <w:rsid w:val="001446D2"/>
    <w:rsid w:val="00144F1B"/>
    <w:rsid w:val="00146CA1"/>
    <w:rsid w:val="00147C68"/>
    <w:rsid w:val="00155E84"/>
    <w:rsid w:val="0015637C"/>
    <w:rsid w:val="001620F9"/>
    <w:rsid w:val="00162BDA"/>
    <w:rsid w:val="00165D45"/>
    <w:rsid w:val="00173B58"/>
    <w:rsid w:val="00175034"/>
    <w:rsid w:val="00175707"/>
    <w:rsid w:val="001838AF"/>
    <w:rsid w:val="0018439C"/>
    <w:rsid w:val="001854D5"/>
    <w:rsid w:val="00194E09"/>
    <w:rsid w:val="001955C8"/>
    <w:rsid w:val="00196232"/>
    <w:rsid w:val="001A02D3"/>
    <w:rsid w:val="001A675D"/>
    <w:rsid w:val="001A70A2"/>
    <w:rsid w:val="001B751B"/>
    <w:rsid w:val="001D1011"/>
    <w:rsid w:val="001D3787"/>
    <w:rsid w:val="001D5234"/>
    <w:rsid w:val="001E48FF"/>
    <w:rsid w:val="001F2D6B"/>
    <w:rsid w:val="001F4227"/>
    <w:rsid w:val="001F64D3"/>
    <w:rsid w:val="001F654D"/>
    <w:rsid w:val="001F7096"/>
    <w:rsid w:val="00202055"/>
    <w:rsid w:val="00202808"/>
    <w:rsid w:val="002040D4"/>
    <w:rsid w:val="00204F0B"/>
    <w:rsid w:val="00206436"/>
    <w:rsid w:val="0020702E"/>
    <w:rsid w:val="00222674"/>
    <w:rsid w:val="0022530B"/>
    <w:rsid w:val="002320FE"/>
    <w:rsid w:val="00237870"/>
    <w:rsid w:val="00237F08"/>
    <w:rsid w:val="00242D5C"/>
    <w:rsid w:val="002434DD"/>
    <w:rsid w:val="0024374F"/>
    <w:rsid w:val="002469DC"/>
    <w:rsid w:val="002525B8"/>
    <w:rsid w:val="0025324B"/>
    <w:rsid w:val="00254640"/>
    <w:rsid w:val="00264B1D"/>
    <w:rsid w:val="00272239"/>
    <w:rsid w:val="00272ABF"/>
    <w:rsid w:val="0027578D"/>
    <w:rsid w:val="00282E25"/>
    <w:rsid w:val="00285BDE"/>
    <w:rsid w:val="0029069C"/>
    <w:rsid w:val="00290719"/>
    <w:rsid w:val="00292C96"/>
    <w:rsid w:val="002948A2"/>
    <w:rsid w:val="00294DB6"/>
    <w:rsid w:val="002A0D81"/>
    <w:rsid w:val="002A3F14"/>
    <w:rsid w:val="002A401B"/>
    <w:rsid w:val="002A52D9"/>
    <w:rsid w:val="002A7747"/>
    <w:rsid w:val="002B191F"/>
    <w:rsid w:val="002B230A"/>
    <w:rsid w:val="002B2D44"/>
    <w:rsid w:val="002B6631"/>
    <w:rsid w:val="002B6F23"/>
    <w:rsid w:val="002C022F"/>
    <w:rsid w:val="002C1CDE"/>
    <w:rsid w:val="002C3753"/>
    <w:rsid w:val="002C6628"/>
    <w:rsid w:val="002C7101"/>
    <w:rsid w:val="002C7D1A"/>
    <w:rsid w:val="002D7A2B"/>
    <w:rsid w:val="002E111C"/>
    <w:rsid w:val="002E294F"/>
    <w:rsid w:val="002E625A"/>
    <w:rsid w:val="002E698F"/>
    <w:rsid w:val="002F1767"/>
    <w:rsid w:val="002F6968"/>
    <w:rsid w:val="00301DC9"/>
    <w:rsid w:val="00307CA5"/>
    <w:rsid w:val="003102D0"/>
    <w:rsid w:val="00311157"/>
    <w:rsid w:val="00314EB7"/>
    <w:rsid w:val="0031521E"/>
    <w:rsid w:val="00317531"/>
    <w:rsid w:val="003222A6"/>
    <w:rsid w:val="00326436"/>
    <w:rsid w:val="00330647"/>
    <w:rsid w:val="003441B3"/>
    <w:rsid w:val="00344E09"/>
    <w:rsid w:val="00347C88"/>
    <w:rsid w:val="0035284D"/>
    <w:rsid w:val="00355DA4"/>
    <w:rsid w:val="0035640D"/>
    <w:rsid w:val="00356ACA"/>
    <w:rsid w:val="00366BDB"/>
    <w:rsid w:val="0037193A"/>
    <w:rsid w:val="00374AFA"/>
    <w:rsid w:val="00375426"/>
    <w:rsid w:val="00385041"/>
    <w:rsid w:val="00392533"/>
    <w:rsid w:val="00393581"/>
    <w:rsid w:val="00396CAE"/>
    <w:rsid w:val="003A2C7B"/>
    <w:rsid w:val="003A643C"/>
    <w:rsid w:val="003A75BB"/>
    <w:rsid w:val="003B2321"/>
    <w:rsid w:val="003B38FD"/>
    <w:rsid w:val="003C14A5"/>
    <w:rsid w:val="003D0009"/>
    <w:rsid w:val="003D2972"/>
    <w:rsid w:val="003D42D0"/>
    <w:rsid w:val="003D5A8B"/>
    <w:rsid w:val="003D5C5C"/>
    <w:rsid w:val="003D6137"/>
    <w:rsid w:val="003D6AE2"/>
    <w:rsid w:val="003D6B95"/>
    <w:rsid w:val="003E4FC4"/>
    <w:rsid w:val="003F468E"/>
    <w:rsid w:val="004021F4"/>
    <w:rsid w:val="00405BA8"/>
    <w:rsid w:val="004066FC"/>
    <w:rsid w:val="0040704B"/>
    <w:rsid w:val="00411737"/>
    <w:rsid w:val="00411778"/>
    <w:rsid w:val="00423E42"/>
    <w:rsid w:val="00431403"/>
    <w:rsid w:val="00432187"/>
    <w:rsid w:val="00437E2A"/>
    <w:rsid w:val="00440F1D"/>
    <w:rsid w:val="00441CA2"/>
    <w:rsid w:val="00443BF5"/>
    <w:rsid w:val="004539D4"/>
    <w:rsid w:val="00455556"/>
    <w:rsid w:val="00456DD3"/>
    <w:rsid w:val="004619DA"/>
    <w:rsid w:val="00467436"/>
    <w:rsid w:val="00474FE9"/>
    <w:rsid w:val="004750A9"/>
    <w:rsid w:val="00476DF1"/>
    <w:rsid w:val="004831D4"/>
    <w:rsid w:val="00484464"/>
    <w:rsid w:val="0048791A"/>
    <w:rsid w:val="00487D76"/>
    <w:rsid w:val="0049502C"/>
    <w:rsid w:val="0049551C"/>
    <w:rsid w:val="004A04E1"/>
    <w:rsid w:val="004A1BA8"/>
    <w:rsid w:val="004A1C59"/>
    <w:rsid w:val="004A7E8F"/>
    <w:rsid w:val="004B2509"/>
    <w:rsid w:val="004B2E1B"/>
    <w:rsid w:val="004B5DCF"/>
    <w:rsid w:val="004B73CB"/>
    <w:rsid w:val="004B741F"/>
    <w:rsid w:val="004C006C"/>
    <w:rsid w:val="004C4057"/>
    <w:rsid w:val="004C529C"/>
    <w:rsid w:val="004D23BE"/>
    <w:rsid w:val="004D60C3"/>
    <w:rsid w:val="004D7A68"/>
    <w:rsid w:val="004E4EE1"/>
    <w:rsid w:val="004E630C"/>
    <w:rsid w:val="004F05BD"/>
    <w:rsid w:val="004F0792"/>
    <w:rsid w:val="004F6D12"/>
    <w:rsid w:val="0050199C"/>
    <w:rsid w:val="005054C1"/>
    <w:rsid w:val="00506887"/>
    <w:rsid w:val="00507E4E"/>
    <w:rsid w:val="00510D3E"/>
    <w:rsid w:val="005124A0"/>
    <w:rsid w:val="0051668C"/>
    <w:rsid w:val="00520ECD"/>
    <w:rsid w:val="0052250D"/>
    <w:rsid w:val="00532C21"/>
    <w:rsid w:val="00532C30"/>
    <w:rsid w:val="00540A4E"/>
    <w:rsid w:val="0054178B"/>
    <w:rsid w:val="00542B19"/>
    <w:rsid w:val="005435CB"/>
    <w:rsid w:val="00544C2F"/>
    <w:rsid w:val="005467F7"/>
    <w:rsid w:val="00546B75"/>
    <w:rsid w:val="00561530"/>
    <w:rsid w:val="00561EB8"/>
    <w:rsid w:val="00567DFF"/>
    <w:rsid w:val="00572F9E"/>
    <w:rsid w:val="00587CDF"/>
    <w:rsid w:val="00594D5F"/>
    <w:rsid w:val="00597D7E"/>
    <w:rsid w:val="005A10BD"/>
    <w:rsid w:val="005A243C"/>
    <w:rsid w:val="005A3E28"/>
    <w:rsid w:val="005A4E05"/>
    <w:rsid w:val="005A513C"/>
    <w:rsid w:val="005B753F"/>
    <w:rsid w:val="005C05E0"/>
    <w:rsid w:val="005C4D8A"/>
    <w:rsid w:val="005C6E74"/>
    <w:rsid w:val="005D0612"/>
    <w:rsid w:val="005D1D58"/>
    <w:rsid w:val="005D3D7E"/>
    <w:rsid w:val="005D6C46"/>
    <w:rsid w:val="005E641C"/>
    <w:rsid w:val="005F0CA8"/>
    <w:rsid w:val="005F65D3"/>
    <w:rsid w:val="0060387B"/>
    <w:rsid w:val="0060791E"/>
    <w:rsid w:val="006165F6"/>
    <w:rsid w:val="00620512"/>
    <w:rsid w:val="00622DB6"/>
    <w:rsid w:val="00625BF9"/>
    <w:rsid w:val="00633416"/>
    <w:rsid w:val="00642A62"/>
    <w:rsid w:val="00651024"/>
    <w:rsid w:val="00651D69"/>
    <w:rsid w:val="006528ED"/>
    <w:rsid w:val="006540BF"/>
    <w:rsid w:val="0065771B"/>
    <w:rsid w:val="0066097F"/>
    <w:rsid w:val="006628EE"/>
    <w:rsid w:val="0066599B"/>
    <w:rsid w:val="00673C14"/>
    <w:rsid w:val="00677A7F"/>
    <w:rsid w:val="00677BB7"/>
    <w:rsid w:val="00682316"/>
    <w:rsid w:val="00685995"/>
    <w:rsid w:val="00695B8A"/>
    <w:rsid w:val="00696137"/>
    <w:rsid w:val="006A0DEF"/>
    <w:rsid w:val="006A5034"/>
    <w:rsid w:val="006A693A"/>
    <w:rsid w:val="006B20E4"/>
    <w:rsid w:val="006B6905"/>
    <w:rsid w:val="006C51B8"/>
    <w:rsid w:val="006D01CD"/>
    <w:rsid w:val="006D1501"/>
    <w:rsid w:val="006D1D5B"/>
    <w:rsid w:val="006D62AF"/>
    <w:rsid w:val="006E04B4"/>
    <w:rsid w:val="006E104D"/>
    <w:rsid w:val="006F07CA"/>
    <w:rsid w:val="006F2018"/>
    <w:rsid w:val="00701E82"/>
    <w:rsid w:val="00706060"/>
    <w:rsid w:val="007112D8"/>
    <w:rsid w:val="0071636D"/>
    <w:rsid w:val="00717E2E"/>
    <w:rsid w:val="0072137A"/>
    <w:rsid w:val="00724C35"/>
    <w:rsid w:val="00733A03"/>
    <w:rsid w:val="00740E16"/>
    <w:rsid w:val="007422DF"/>
    <w:rsid w:val="00744C67"/>
    <w:rsid w:val="007518EE"/>
    <w:rsid w:val="0075398B"/>
    <w:rsid w:val="00754454"/>
    <w:rsid w:val="007553F3"/>
    <w:rsid w:val="00756F96"/>
    <w:rsid w:val="00766536"/>
    <w:rsid w:val="00772743"/>
    <w:rsid w:val="00773E7B"/>
    <w:rsid w:val="0077634C"/>
    <w:rsid w:val="007844FE"/>
    <w:rsid w:val="00787AD3"/>
    <w:rsid w:val="00792A07"/>
    <w:rsid w:val="0079433E"/>
    <w:rsid w:val="00795032"/>
    <w:rsid w:val="007A1F04"/>
    <w:rsid w:val="007A6298"/>
    <w:rsid w:val="007A6F4F"/>
    <w:rsid w:val="007B13CD"/>
    <w:rsid w:val="007B61DE"/>
    <w:rsid w:val="007C1EEE"/>
    <w:rsid w:val="007C2630"/>
    <w:rsid w:val="007C4419"/>
    <w:rsid w:val="007D1F2B"/>
    <w:rsid w:val="007D4942"/>
    <w:rsid w:val="007D508E"/>
    <w:rsid w:val="007E290D"/>
    <w:rsid w:val="007E6B92"/>
    <w:rsid w:val="007E7DD7"/>
    <w:rsid w:val="007F62A0"/>
    <w:rsid w:val="0080134E"/>
    <w:rsid w:val="00806EC8"/>
    <w:rsid w:val="00807E86"/>
    <w:rsid w:val="00812AF2"/>
    <w:rsid w:val="00814B34"/>
    <w:rsid w:val="00823D1E"/>
    <w:rsid w:val="008273E1"/>
    <w:rsid w:val="00827DD0"/>
    <w:rsid w:val="008314C0"/>
    <w:rsid w:val="0083564B"/>
    <w:rsid w:val="00835FCA"/>
    <w:rsid w:val="00836FC0"/>
    <w:rsid w:val="00842565"/>
    <w:rsid w:val="0084544A"/>
    <w:rsid w:val="00845BD6"/>
    <w:rsid w:val="00845E60"/>
    <w:rsid w:val="008527F8"/>
    <w:rsid w:val="00854305"/>
    <w:rsid w:val="008544F8"/>
    <w:rsid w:val="0085589C"/>
    <w:rsid w:val="00857F21"/>
    <w:rsid w:val="00862CAD"/>
    <w:rsid w:val="00867D5C"/>
    <w:rsid w:val="00867ED1"/>
    <w:rsid w:val="0089273A"/>
    <w:rsid w:val="00892F76"/>
    <w:rsid w:val="008935E9"/>
    <w:rsid w:val="008946D1"/>
    <w:rsid w:val="008979A0"/>
    <w:rsid w:val="008A1070"/>
    <w:rsid w:val="008A2C4A"/>
    <w:rsid w:val="008A4CFD"/>
    <w:rsid w:val="008A6523"/>
    <w:rsid w:val="008A7760"/>
    <w:rsid w:val="008B097A"/>
    <w:rsid w:val="008B4946"/>
    <w:rsid w:val="008B5467"/>
    <w:rsid w:val="008C47F5"/>
    <w:rsid w:val="008D32CD"/>
    <w:rsid w:val="008E1365"/>
    <w:rsid w:val="008E2362"/>
    <w:rsid w:val="008E5967"/>
    <w:rsid w:val="00901FC1"/>
    <w:rsid w:val="00905EB5"/>
    <w:rsid w:val="00913B81"/>
    <w:rsid w:val="0091401A"/>
    <w:rsid w:val="0092125F"/>
    <w:rsid w:val="00921CEF"/>
    <w:rsid w:val="00921F83"/>
    <w:rsid w:val="00922F70"/>
    <w:rsid w:val="009253BD"/>
    <w:rsid w:val="009259B7"/>
    <w:rsid w:val="009302CE"/>
    <w:rsid w:val="00933F54"/>
    <w:rsid w:val="00936E4B"/>
    <w:rsid w:val="00937CCC"/>
    <w:rsid w:val="00940791"/>
    <w:rsid w:val="0094152D"/>
    <w:rsid w:val="0094196E"/>
    <w:rsid w:val="009424D4"/>
    <w:rsid w:val="009426FC"/>
    <w:rsid w:val="0094586E"/>
    <w:rsid w:val="009509D4"/>
    <w:rsid w:val="00953892"/>
    <w:rsid w:val="0095608F"/>
    <w:rsid w:val="00956A07"/>
    <w:rsid w:val="0095706B"/>
    <w:rsid w:val="009617DA"/>
    <w:rsid w:val="009617F1"/>
    <w:rsid w:val="009645E1"/>
    <w:rsid w:val="00976226"/>
    <w:rsid w:val="00980324"/>
    <w:rsid w:val="00980524"/>
    <w:rsid w:val="00982FE4"/>
    <w:rsid w:val="0098668C"/>
    <w:rsid w:val="00990003"/>
    <w:rsid w:val="00991089"/>
    <w:rsid w:val="00991716"/>
    <w:rsid w:val="009930FA"/>
    <w:rsid w:val="009967D1"/>
    <w:rsid w:val="00996AD5"/>
    <w:rsid w:val="009A0D27"/>
    <w:rsid w:val="009A2F9C"/>
    <w:rsid w:val="009A3325"/>
    <w:rsid w:val="009A41C2"/>
    <w:rsid w:val="009B15D0"/>
    <w:rsid w:val="009B20AB"/>
    <w:rsid w:val="009B5D42"/>
    <w:rsid w:val="009C6E0A"/>
    <w:rsid w:val="009C778C"/>
    <w:rsid w:val="009D19DC"/>
    <w:rsid w:val="009E1205"/>
    <w:rsid w:val="009E442B"/>
    <w:rsid w:val="009E4A35"/>
    <w:rsid w:val="009E67D9"/>
    <w:rsid w:val="009F03E5"/>
    <w:rsid w:val="009F5370"/>
    <w:rsid w:val="009F5605"/>
    <w:rsid w:val="00A01FA0"/>
    <w:rsid w:val="00A06162"/>
    <w:rsid w:val="00A132E1"/>
    <w:rsid w:val="00A149DA"/>
    <w:rsid w:val="00A14D31"/>
    <w:rsid w:val="00A271FC"/>
    <w:rsid w:val="00A310D3"/>
    <w:rsid w:val="00A358F2"/>
    <w:rsid w:val="00A37B6C"/>
    <w:rsid w:val="00A41C31"/>
    <w:rsid w:val="00A43119"/>
    <w:rsid w:val="00A45C2E"/>
    <w:rsid w:val="00A474C2"/>
    <w:rsid w:val="00A4775E"/>
    <w:rsid w:val="00A47AD7"/>
    <w:rsid w:val="00A562F1"/>
    <w:rsid w:val="00A642C1"/>
    <w:rsid w:val="00A73E49"/>
    <w:rsid w:val="00A74494"/>
    <w:rsid w:val="00A77EA5"/>
    <w:rsid w:val="00A81407"/>
    <w:rsid w:val="00A85AFB"/>
    <w:rsid w:val="00A87494"/>
    <w:rsid w:val="00A9180D"/>
    <w:rsid w:val="00A93B1D"/>
    <w:rsid w:val="00A9477F"/>
    <w:rsid w:val="00A95063"/>
    <w:rsid w:val="00A957DD"/>
    <w:rsid w:val="00A97B53"/>
    <w:rsid w:val="00AA1597"/>
    <w:rsid w:val="00AA1B26"/>
    <w:rsid w:val="00AA408E"/>
    <w:rsid w:val="00AA4DA5"/>
    <w:rsid w:val="00AA640D"/>
    <w:rsid w:val="00AA6B37"/>
    <w:rsid w:val="00AB2D40"/>
    <w:rsid w:val="00AB6A53"/>
    <w:rsid w:val="00AB6EE5"/>
    <w:rsid w:val="00AC02D8"/>
    <w:rsid w:val="00AC2536"/>
    <w:rsid w:val="00AD054A"/>
    <w:rsid w:val="00AD09CD"/>
    <w:rsid w:val="00AD3A37"/>
    <w:rsid w:val="00AD5B67"/>
    <w:rsid w:val="00AD6C53"/>
    <w:rsid w:val="00AD7607"/>
    <w:rsid w:val="00AE03E8"/>
    <w:rsid w:val="00AE08D6"/>
    <w:rsid w:val="00AE251D"/>
    <w:rsid w:val="00AE49E1"/>
    <w:rsid w:val="00AE7911"/>
    <w:rsid w:val="00AE7A45"/>
    <w:rsid w:val="00AF01D1"/>
    <w:rsid w:val="00AF2006"/>
    <w:rsid w:val="00AF213D"/>
    <w:rsid w:val="00B00A7E"/>
    <w:rsid w:val="00B00EAC"/>
    <w:rsid w:val="00B02BD7"/>
    <w:rsid w:val="00B0684D"/>
    <w:rsid w:val="00B17EB0"/>
    <w:rsid w:val="00B24E07"/>
    <w:rsid w:val="00B3086C"/>
    <w:rsid w:val="00B3247C"/>
    <w:rsid w:val="00B32DF6"/>
    <w:rsid w:val="00B33642"/>
    <w:rsid w:val="00B34A5D"/>
    <w:rsid w:val="00B36276"/>
    <w:rsid w:val="00B36747"/>
    <w:rsid w:val="00B367CB"/>
    <w:rsid w:val="00B37237"/>
    <w:rsid w:val="00B40008"/>
    <w:rsid w:val="00B42E6E"/>
    <w:rsid w:val="00B43AE5"/>
    <w:rsid w:val="00B459F2"/>
    <w:rsid w:val="00B46AA1"/>
    <w:rsid w:val="00B50247"/>
    <w:rsid w:val="00B51436"/>
    <w:rsid w:val="00B57FF4"/>
    <w:rsid w:val="00B7402A"/>
    <w:rsid w:val="00B74664"/>
    <w:rsid w:val="00B75B57"/>
    <w:rsid w:val="00B77C8F"/>
    <w:rsid w:val="00B77D15"/>
    <w:rsid w:val="00B838DD"/>
    <w:rsid w:val="00B83A0F"/>
    <w:rsid w:val="00B90526"/>
    <w:rsid w:val="00B941C9"/>
    <w:rsid w:val="00B96DDA"/>
    <w:rsid w:val="00B970F1"/>
    <w:rsid w:val="00BA09E9"/>
    <w:rsid w:val="00BA1B77"/>
    <w:rsid w:val="00BA697B"/>
    <w:rsid w:val="00BB111F"/>
    <w:rsid w:val="00BC0C3D"/>
    <w:rsid w:val="00BC22C5"/>
    <w:rsid w:val="00BC33D2"/>
    <w:rsid w:val="00BC46AB"/>
    <w:rsid w:val="00BD218D"/>
    <w:rsid w:val="00BE2064"/>
    <w:rsid w:val="00BE257B"/>
    <w:rsid w:val="00BE490F"/>
    <w:rsid w:val="00BF1B7E"/>
    <w:rsid w:val="00BF5655"/>
    <w:rsid w:val="00C0663D"/>
    <w:rsid w:val="00C10552"/>
    <w:rsid w:val="00C10914"/>
    <w:rsid w:val="00C10FC4"/>
    <w:rsid w:val="00C156A1"/>
    <w:rsid w:val="00C21D72"/>
    <w:rsid w:val="00C22965"/>
    <w:rsid w:val="00C2412F"/>
    <w:rsid w:val="00C27269"/>
    <w:rsid w:val="00C3533D"/>
    <w:rsid w:val="00C35A49"/>
    <w:rsid w:val="00C36A08"/>
    <w:rsid w:val="00C422B2"/>
    <w:rsid w:val="00C42868"/>
    <w:rsid w:val="00C441B5"/>
    <w:rsid w:val="00C47BDF"/>
    <w:rsid w:val="00C52B80"/>
    <w:rsid w:val="00C5692F"/>
    <w:rsid w:val="00C57A05"/>
    <w:rsid w:val="00C57EDF"/>
    <w:rsid w:val="00C62533"/>
    <w:rsid w:val="00C63EEC"/>
    <w:rsid w:val="00C65EF5"/>
    <w:rsid w:val="00C707F9"/>
    <w:rsid w:val="00C73CE2"/>
    <w:rsid w:val="00C74405"/>
    <w:rsid w:val="00C75DCE"/>
    <w:rsid w:val="00C82A2C"/>
    <w:rsid w:val="00C82B22"/>
    <w:rsid w:val="00C86393"/>
    <w:rsid w:val="00C92600"/>
    <w:rsid w:val="00C92E9C"/>
    <w:rsid w:val="00C966C0"/>
    <w:rsid w:val="00CA0C95"/>
    <w:rsid w:val="00CA30A3"/>
    <w:rsid w:val="00CA5517"/>
    <w:rsid w:val="00CA5E9C"/>
    <w:rsid w:val="00CA7433"/>
    <w:rsid w:val="00CB0FFA"/>
    <w:rsid w:val="00CB73F1"/>
    <w:rsid w:val="00CC0BB6"/>
    <w:rsid w:val="00CC31BB"/>
    <w:rsid w:val="00CC738B"/>
    <w:rsid w:val="00CD2F02"/>
    <w:rsid w:val="00CD42CE"/>
    <w:rsid w:val="00CD4470"/>
    <w:rsid w:val="00CD5050"/>
    <w:rsid w:val="00CE0167"/>
    <w:rsid w:val="00CE3D15"/>
    <w:rsid w:val="00CE6740"/>
    <w:rsid w:val="00CF4FD4"/>
    <w:rsid w:val="00D03474"/>
    <w:rsid w:val="00D035B2"/>
    <w:rsid w:val="00D05E95"/>
    <w:rsid w:val="00D07AA5"/>
    <w:rsid w:val="00D12665"/>
    <w:rsid w:val="00D13836"/>
    <w:rsid w:val="00D14960"/>
    <w:rsid w:val="00D155D5"/>
    <w:rsid w:val="00D21025"/>
    <w:rsid w:val="00D3118A"/>
    <w:rsid w:val="00D37B36"/>
    <w:rsid w:val="00D46C93"/>
    <w:rsid w:val="00D514CA"/>
    <w:rsid w:val="00D53808"/>
    <w:rsid w:val="00D5770F"/>
    <w:rsid w:val="00D6195A"/>
    <w:rsid w:val="00D64D9B"/>
    <w:rsid w:val="00D66DE6"/>
    <w:rsid w:val="00D67809"/>
    <w:rsid w:val="00D70414"/>
    <w:rsid w:val="00D72823"/>
    <w:rsid w:val="00D730A3"/>
    <w:rsid w:val="00D758D1"/>
    <w:rsid w:val="00D7737F"/>
    <w:rsid w:val="00D80173"/>
    <w:rsid w:val="00D83577"/>
    <w:rsid w:val="00D848A1"/>
    <w:rsid w:val="00D84D54"/>
    <w:rsid w:val="00D863B5"/>
    <w:rsid w:val="00D90C8E"/>
    <w:rsid w:val="00D93132"/>
    <w:rsid w:val="00DA2BC7"/>
    <w:rsid w:val="00DA3F5D"/>
    <w:rsid w:val="00DA6611"/>
    <w:rsid w:val="00DB4571"/>
    <w:rsid w:val="00DB5A84"/>
    <w:rsid w:val="00DB6557"/>
    <w:rsid w:val="00DC630D"/>
    <w:rsid w:val="00DD041F"/>
    <w:rsid w:val="00DD4FAB"/>
    <w:rsid w:val="00DE067A"/>
    <w:rsid w:val="00DE67E6"/>
    <w:rsid w:val="00DF5B2E"/>
    <w:rsid w:val="00E01AC0"/>
    <w:rsid w:val="00E0487F"/>
    <w:rsid w:val="00E06A79"/>
    <w:rsid w:val="00E06F45"/>
    <w:rsid w:val="00E13F51"/>
    <w:rsid w:val="00E152F3"/>
    <w:rsid w:val="00E15FF9"/>
    <w:rsid w:val="00E25837"/>
    <w:rsid w:val="00E27647"/>
    <w:rsid w:val="00E313AD"/>
    <w:rsid w:val="00E326AE"/>
    <w:rsid w:val="00E33EF4"/>
    <w:rsid w:val="00E40EF7"/>
    <w:rsid w:val="00E40F6F"/>
    <w:rsid w:val="00E4231F"/>
    <w:rsid w:val="00E44405"/>
    <w:rsid w:val="00E46189"/>
    <w:rsid w:val="00E47FDD"/>
    <w:rsid w:val="00E513EE"/>
    <w:rsid w:val="00E51618"/>
    <w:rsid w:val="00E5430C"/>
    <w:rsid w:val="00E55389"/>
    <w:rsid w:val="00E55F20"/>
    <w:rsid w:val="00E5683A"/>
    <w:rsid w:val="00E60587"/>
    <w:rsid w:val="00E74183"/>
    <w:rsid w:val="00E76127"/>
    <w:rsid w:val="00E76C55"/>
    <w:rsid w:val="00E77BF3"/>
    <w:rsid w:val="00E80839"/>
    <w:rsid w:val="00E83106"/>
    <w:rsid w:val="00E84E51"/>
    <w:rsid w:val="00E853DF"/>
    <w:rsid w:val="00E857FC"/>
    <w:rsid w:val="00E874CD"/>
    <w:rsid w:val="00E87819"/>
    <w:rsid w:val="00E95AB3"/>
    <w:rsid w:val="00EA0912"/>
    <w:rsid w:val="00EB4B98"/>
    <w:rsid w:val="00EB557C"/>
    <w:rsid w:val="00EB616C"/>
    <w:rsid w:val="00EC2988"/>
    <w:rsid w:val="00EC2BA4"/>
    <w:rsid w:val="00EC2CBF"/>
    <w:rsid w:val="00EC4D2D"/>
    <w:rsid w:val="00ED3EC5"/>
    <w:rsid w:val="00ED3F0D"/>
    <w:rsid w:val="00ED572B"/>
    <w:rsid w:val="00ED7D56"/>
    <w:rsid w:val="00EE6D26"/>
    <w:rsid w:val="00EF082D"/>
    <w:rsid w:val="00EF1C72"/>
    <w:rsid w:val="00EF328E"/>
    <w:rsid w:val="00EF3542"/>
    <w:rsid w:val="00EF4D51"/>
    <w:rsid w:val="00EF7E2A"/>
    <w:rsid w:val="00F00104"/>
    <w:rsid w:val="00F00D9B"/>
    <w:rsid w:val="00F07E43"/>
    <w:rsid w:val="00F10A26"/>
    <w:rsid w:val="00F11F4C"/>
    <w:rsid w:val="00F12DD8"/>
    <w:rsid w:val="00F17353"/>
    <w:rsid w:val="00F20190"/>
    <w:rsid w:val="00F21275"/>
    <w:rsid w:val="00F3162D"/>
    <w:rsid w:val="00F318C9"/>
    <w:rsid w:val="00F33982"/>
    <w:rsid w:val="00F348D6"/>
    <w:rsid w:val="00F37131"/>
    <w:rsid w:val="00F37C63"/>
    <w:rsid w:val="00F40976"/>
    <w:rsid w:val="00F42915"/>
    <w:rsid w:val="00F475EC"/>
    <w:rsid w:val="00F55182"/>
    <w:rsid w:val="00F6001B"/>
    <w:rsid w:val="00F600AE"/>
    <w:rsid w:val="00F63528"/>
    <w:rsid w:val="00F658DF"/>
    <w:rsid w:val="00F673D4"/>
    <w:rsid w:val="00F72E20"/>
    <w:rsid w:val="00F811E3"/>
    <w:rsid w:val="00F81CAD"/>
    <w:rsid w:val="00F828FD"/>
    <w:rsid w:val="00F94551"/>
    <w:rsid w:val="00F9668B"/>
    <w:rsid w:val="00FA481C"/>
    <w:rsid w:val="00FA51CC"/>
    <w:rsid w:val="00FB059A"/>
    <w:rsid w:val="00FB5E83"/>
    <w:rsid w:val="00FC33FA"/>
    <w:rsid w:val="00FC3CBA"/>
    <w:rsid w:val="00FC69B1"/>
    <w:rsid w:val="00FD0B1B"/>
    <w:rsid w:val="00FD20F3"/>
    <w:rsid w:val="00FD599C"/>
    <w:rsid w:val="00FE0399"/>
    <w:rsid w:val="00FE11FA"/>
    <w:rsid w:val="00FE37B2"/>
    <w:rsid w:val="00FE4A98"/>
    <w:rsid w:val="00FE5E09"/>
    <w:rsid w:val="00FE77DB"/>
    <w:rsid w:val="00FF12DE"/>
    <w:rsid w:val="00FF6A03"/>
    <w:rsid w:val="00FF6EB5"/>
    <w:rsid w:val="0FB610AD"/>
    <w:rsid w:val="10975C16"/>
    <w:rsid w:val="12245756"/>
    <w:rsid w:val="14D22E7F"/>
    <w:rsid w:val="15A811B4"/>
    <w:rsid w:val="1E856BD4"/>
    <w:rsid w:val="354818BE"/>
    <w:rsid w:val="35E91B04"/>
    <w:rsid w:val="43194CEF"/>
    <w:rsid w:val="436F7DBD"/>
    <w:rsid w:val="4D9434B4"/>
    <w:rsid w:val="736019DF"/>
    <w:rsid w:val="78594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F0902A"/>
  <w15:docId w15:val="{CABC0D99-43A4-4C48-875C-AF1F54855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20" w:lineRule="exact"/>
      <w:jc w:val="both"/>
    </w:pPr>
    <w:rPr>
      <w:rFonts w:ascii="华文楷体" w:eastAsia="华文楷体" w:hAnsi="华文楷体"/>
      <w:kern w:val="2"/>
      <w:sz w:val="22"/>
      <w:szCs w:val="24"/>
    </w:rPr>
  </w:style>
  <w:style w:type="paragraph" w:styleId="1">
    <w:name w:val="heading 1"/>
    <w:basedOn w:val="a"/>
    <w:next w:val="a"/>
    <w:link w:val="10"/>
    <w:uiPriority w:val="9"/>
    <w:qFormat/>
    <w:pPr>
      <w:keepNext/>
      <w:keepLines/>
      <w:spacing w:line="400" w:lineRule="exact"/>
      <w:jc w:val="center"/>
      <w:outlineLvl w:val="0"/>
    </w:pPr>
    <w:rPr>
      <w:b/>
      <w:bCs/>
      <w:kern w:val="44"/>
      <w:sz w:val="32"/>
      <w:szCs w:val="44"/>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jc w:val="center"/>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pPr>
      <w:keepNext/>
      <w:keepLines/>
      <w:spacing w:before="280" w:after="290" w:line="376" w:lineRule="auto"/>
      <w:jc w:val="center"/>
      <w:outlineLvl w:val="4"/>
    </w:pPr>
    <w:rPr>
      <w:rFonts w:ascii="黑体" w:eastAsia="黑体" w:hAnsi="黑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Body Text"/>
    <w:basedOn w:val="a"/>
    <w:link w:val="a6"/>
    <w:uiPriority w:val="1"/>
    <w:qFormat/>
    <w:pPr>
      <w:ind w:left="220"/>
    </w:pPr>
    <w:rPr>
      <w:rFonts w:ascii="微软雅黑" w:eastAsia="微软雅黑" w:hAnsi="微软雅黑"/>
      <w:sz w:val="24"/>
    </w:rPr>
  </w:style>
  <w:style w:type="paragraph" w:styleId="a7">
    <w:name w:val="Balloon Text"/>
    <w:basedOn w:val="a"/>
    <w:link w:val="a8"/>
    <w:uiPriority w:val="99"/>
    <w:semiHidden/>
    <w:unhideWhenUsed/>
    <w:qFormat/>
    <w:rPr>
      <w:rFonts w:ascii="宋体" w:eastAsia="宋体"/>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semiHidden/>
    <w:unhideWhenUsed/>
    <w:qFormat/>
    <w:pPr>
      <w:snapToGrid w:val="0"/>
      <w:jc w:val="left"/>
    </w:pPr>
    <w:rPr>
      <w:sz w:val="18"/>
      <w:szCs w:val="18"/>
    </w:rPr>
  </w:style>
  <w:style w:type="paragraph" w:styleId="af">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Emphasis"/>
    <w:basedOn w:val="a0"/>
    <w:uiPriority w:val="20"/>
    <w:qFormat/>
    <w:rPr>
      <w:i/>
      <w:iCs/>
    </w:rPr>
  </w:style>
  <w:style w:type="character" w:styleId="af3">
    <w:name w:val="Hyperlink"/>
    <w:basedOn w:val="a0"/>
    <w:uiPriority w:val="99"/>
    <w:semiHidden/>
    <w:unhideWhenUsed/>
    <w:qFormat/>
    <w:rPr>
      <w:color w:val="0000FF"/>
      <w:u w:val="single"/>
    </w:rPr>
  </w:style>
  <w:style w:type="paragraph" w:customStyle="1" w:styleId="11">
    <w:name w:val="1主标题"/>
    <w:basedOn w:val="a"/>
    <w:next w:val="2Abstract"/>
    <w:qFormat/>
    <w:pPr>
      <w:spacing w:line="360" w:lineRule="auto"/>
      <w:jc w:val="center"/>
    </w:pPr>
    <w:rPr>
      <w:rFonts w:ascii="黑体" w:eastAsia="黑体" w:hAnsi="黑体" w:cs="Times New Roman"/>
      <w:sz w:val="36"/>
      <w:szCs w:val="36"/>
    </w:rPr>
  </w:style>
  <w:style w:type="paragraph" w:customStyle="1" w:styleId="2Abstract">
    <w:name w:val="2副标题/Abstract"/>
    <w:basedOn w:val="a"/>
    <w:next w:val="3-"/>
    <w:qFormat/>
    <w:pPr>
      <w:spacing w:line="360" w:lineRule="auto"/>
      <w:jc w:val="center"/>
    </w:pPr>
    <w:rPr>
      <w:rFonts w:cs="楷体"/>
      <w:color w:val="333333"/>
      <w:spacing w:val="8"/>
      <w:kern w:val="0"/>
      <w:sz w:val="24"/>
      <w:szCs w:val="36"/>
      <w:shd w:val="clear" w:color="auto" w:fill="FFFFFF"/>
    </w:rPr>
  </w:style>
  <w:style w:type="paragraph" w:customStyle="1" w:styleId="3-">
    <w:name w:val="3一级-标题"/>
    <w:basedOn w:val="3"/>
    <w:next w:val="0"/>
    <w:qFormat/>
    <w:rsid w:val="00A642C1"/>
    <w:pPr>
      <w:spacing w:beforeLines="100" w:before="240" w:afterLines="100" w:after="240" w:line="240" w:lineRule="auto"/>
      <w:jc w:val="center"/>
    </w:pPr>
    <w:rPr>
      <w:rFonts w:cs="Times New Roman"/>
      <w:bCs w:val="0"/>
      <w:sz w:val="36"/>
      <w:szCs w:val="44"/>
    </w:rPr>
  </w:style>
  <w:style w:type="paragraph" w:customStyle="1" w:styleId="0">
    <w:name w:val="0中文正文"/>
    <w:basedOn w:val="a"/>
    <w:qFormat/>
    <w:rsid w:val="004619DA"/>
    <w:pPr>
      <w:spacing w:afterLines="100" w:after="240" w:line="264" w:lineRule="auto"/>
    </w:pPr>
    <w:rPr>
      <w:rFonts w:ascii="Times New Roman" w:eastAsia="楷体" w:hAnsi="Times New Roman" w:cs="Times New Roman"/>
      <w:sz w:val="24"/>
      <w:szCs w:val="22"/>
    </w:rPr>
  </w:style>
  <w:style w:type="paragraph" w:customStyle="1" w:styleId="5-">
    <w:name w:val="5三级-标题"/>
    <w:basedOn w:val="5"/>
    <w:next w:val="0"/>
    <w:qFormat/>
    <w:pPr>
      <w:spacing w:before="0" w:after="0" w:line="360" w:lineRule="auto"/>
      <w:jc w:val="left"/>
    </w:pPr>
    <w:rPr>
      <w:rFonts w:ascii="华文楷体" w:eastAsia="华文楷体" w:hAnsi="华文楷体" w:cs="Times New Roman"/>
      <w:b w:val="0"/>
      <w:sz w:val="24"/>
      <w:szCs w:val="24"/>
    </w:rPr>
  </w:style>
  <w:style w:type="character" w:customStyle="1" w:styleId="50">
    <w:name w:val="标题 5 字符"/>
    <w:basedOn w:val="a0"/>
    <w:link w:val="5"/>
    <w:uiPriority w:val="9"/>
    <w:semiHidden/>
    <w:qFormat/>
    <w:rPr>
      <w:rFonts w:ascii="黑体" w:eastAsia="黑体" w:hAnsi="黑体"/>
      <w:b/>
      <w:bCs/>
      <w:sz w:val="28"/>
      <w:szCs w:val="28"/>
    </w:rPr>
  </w:style>
  <w:style w:type="paragraph" w:customStyle="1" w:styleId="4-">
    <w:name w:val="4二级-标题"/>
    <w:basedOn w:val="4"/>
    <w:next w:val="0"/>
    <w:qFormat/>
    <w:rsid w:val="00C0663D"/>
    <w:pPr>
      <w:spacing w:before="0" w:after="0" w:line="360" w:lineRule="auto"/>
      <w:jc w:val="left"/>
    </w:pPr>
    <w:rPr>
      <w:rFonts w:ascii="华文楷体" w:eastAsia="华文楷体" w:hAnsi="华文楷体"/>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00">
    <w:name w:val="0英语正文"/>
    <w:basedOn w:val="a"/>
    <w:qFormat/>
    <w:rsid w:val="00A642C1"/>
    <w:pPr>
      <w:spacing w:afterLines="30" w:after="72" w:line="240" w:lineRule="exact"/>
    </w:pPr>
    <w:rPr>
      <w:rFonts w:cs="Times New Roman"/>
      <w:color w:val="767171" w:themeColor="background2" w:themeShade="80"/>
      <w:sz w:val="21"/>
      <w:szCs w:val="32"/>
    </w:rPr>
  </w:style>
  <w:style w:type="paragraph" w:customStyle="1" w:styleId="af4">
    <w:name w:val="脚注"/>
    <w:basedOn w:val="ad"/>
    <w:link w:val="af5"/>
    <w:qFormat/>
    <w:rPr>
      <w:rFonts w:cs="宋体"/>
      <w:sz w:val="15"/>
    </w:rPr>
  </w:style>
  <w:style w:type="character" w:customStyle="1" w:styleId="af5">
    <w:name w:val="脚注 字符"/>
    <w:basedOn w:val="ae"/>
    <w:link w:val="af4"/>
    <w:qFormat/>
    <w:rPr>
      <w:rFonts w:ascii="华文楷体" w:eastAsia="华文楷体" w:hAnsi="华文楷体" w:cs="宋体"/>
      <w:sz w:val="15"/>
      <w:szCs w:val="18"/>
    </w:rPr>
  </w:style>
  <w:style w:type="character" w:customStyle="1" w:styleId="ae">
    <w:name w:val="脚注文本 字符"/>
    <w:basedOn w:val="a0"/>
    <w:link w:val="ad"/>
    <w:uiPriority w:val="99"/>
    <w:semiHidden/>
    <w:qFormat/>
    <w:rPr>
      <w:sz w:val="18"/>
      <w:szCs w:val="18"/>
    </w:rPr>
  </w:style>
  <w:style w:type="character" w:customStyle="1" w:styleId="a8">
    <w:name w:val="批注框文本 字符"/>
    <w:basedOn w:val="a0"/>
    <w:link w:val="a7"/>
    <w:uiPriority w:val="99"/>
    <w:semiHidden/>
    <w:qFormat/>
    <w:rPr>
      <w:rFonts w:ascii="宋体" w:eastAsia="宋体"/>
      <w:sz w:val="18"/>
      <w:szCs w:val="18"/>
    </w:rPr>
  </w:style>
  <w:style w:type="paragraph" w:customStyle="1" w:styleId="12">
    <w:name w:val="修订1"/>
    <w:hidden/>
    <w:uiPriority w:val="99"/>
    <w:semiHidden/>
    <w:qFormat/>
    <w:rPr>
      <w:kern w:val="2"/>
      <w:sz w:val="21"/>
      <w:szCs w:val="24"/>
    </w:rPr>
  </w:style>
  <w:style w:type="character" w:customStyle="1" w:styleId="10">
    <w:name w:val="标题 1 字符"/>
    <w:basedOn w:val="a0"/>
    <w:link w:val="1"/>
    <w:uiPriority w:val="9"/>
    <w:qFormat/>
    <w:rPr>
      <w:rFonts w:eastAsia="华文楷体"/>
      <w:b/>
      <w:bCs/>
      <w:kern w:val="44"/>
      <w:sz w:val="32"/>
      <w:szCs w:val="44"/>
    </w:rPr>
  </w:style>
  <w:style w:type="paragraph" w:styleId="af6">
    <w:name w:val="List Paragraph"/>
    <w:basedOn w:val="a"/>
    <w:uiPriority w:val="1"/>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1"/>
    <w:qFormat/>
    <w:rPr>
      <w:rFonts w:ascii="微软雅黑" w:eastAsia="微软雅黑" w:hAnsi="微软雅黑"/>
      <w:sz w:val="24"/>
    </w:rPr>
  </w:style>
  <w:style w:type="character" w:customStyle="1" w:styleId="a4">
    <w:name w:val="文档结构图 字符"/>
    <w:basedOn w:val="a0"/>
    <w:link w:val="a3"/>
    <w:uiPriority w:val="99"/>
    <w:semiHidden/>
    <w:qFormat/>
    <w:rPr>
      <w:rFonts w:ascii="宋体" w:eastAsia="宋体"/>
      <w:sz w:val="18"/>
      <w:szCs w:val="18"/>
    </w:rPr>
  </w:style>
  <w:style w:type="character" w:styleId="af7">
    <w:name w:val="page number"/>
    <w:basedOn w:val="a0"/>
    <w:uiPriority w:val="99"/>
    <w:semiHidden/>
    <w:unhideWhenUsed/>
    <w:rsid w:val="007D1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228</TotalTime>
  <Pages>4</Pages>
  <Words>1294</Words>
  <Characters>7381</Characters>
  <Application>Microsoft Office Word</Application>
  <DocSecurity>0</DocSecurity>
  <Lines>61</Lines>
  <Paragraphs>17</Paragraphs>
  <ScaleCrop>false</ScaleCrop>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Alex.Li</dc:creator>
  <cp:lastModifiedBy>Microsoft</cp:lastModifiedBy>
  <cp:revision>179</cp:revision>
  <cp:lastPrinted>2025-08-25T04:32:00Z</cp:lastPrinted>
  <dcterms:created xsi:type="dcterms:W3CDTF">2025-08-23T10:17:00Z</dcterms:created>
  <dcterms:modified xsi:type="dcterms:W3CDTF">2025-12-22T10:32:00Z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C89C9E0E68464E7DAE84191906DE683A</vt:lpwstr>
  </property>
</Properties>
</file>