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352135" w14:textId="3D53C3C2" w:rsidR="004C529C" w:rsidRDefault="00F42915" w:rsidP="004C529C">
      <w:pPr>
        <w:pStyle w:val="0"/>
      </w:pPr>
      <w:r>
        <w:rPr>
          <w:b/>
          <w:noProof/>
          <w:sz w:val="36"/>
          <w:szCs w:val="44"/>
        </w:rPr>
        <w:drawing>
          <wp:anchor distT="0" distB="0" distL="114300" distR="114300" simplePos="0" relativeHeight="251659264" behindDoc="1" locked="0" layoutInCell="1" allowOverlap="1" wp14:anchorId="1D5F7D96" wp14:editId="130F0E68">
            <wp:simplePos x="0" y="0"/>
            <wp:positionH relativeFrom="column">
              <wp:posOffset>-721779</wp:posOffset>
            </wp:positionH>
            <wp:positionV relativeFrom="paragraph">
              <wp:posOffset>-1124717</wp:posOffset>
            </wp:positionV>
            <wp:extent cx="7487728" cy="11220510"/>
            <wp:effectExtent l="0" t="0" r="5715" b="0"/>
            <wp:wrapNone/>
            <wp:docPr id="16942017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201787" name="图片 1694201787"/>
                    <pic:cNvPicPr/>
                  </pic:nvPicPr>
                  <pic:blipFill rotWithShape="1">
                    <a:blip r:embed="rId7">
                      <a:alphaModFix amt="85000"/>
                      <a:extLst>
                        <a:ext uri="{28A0092B-C50C-407E-A947-70E740481C1C}">
                          <a14:useLocalDpi xmlns:a14="http://schemas.microsoft.com/office/drawing/2010/main" val="0"/>
                        </a:ext>
                      </a:extLst>
                    </a:blip>
                    <a:srcRect l="37987" t="14943" r="24196"/>
                    <a:stretch>
                      <a:fillRect/>
                    </a:stretch>
                  </pic:blipFill>
                  <pic:spPr bwMode="auto">
                    <a:xfrm>
                      <a:off x="0" y="0"/>
                      <a:ext cx="7512114" cy="1125705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EB5D87" w14:textId="777CD777" w:rsidR="004C529C" w:rsidRDefault="004C529C" w:rsidP="004C529C">
      <w:pPr>
        <w:pStyle w:val="0"/>
      </w:pPr>
    </w:p>
    <w:p w14:paraId="2F1E2C7D" w14:textId="33D71C78" w:rsidR="0015637C" w:rsidRDefault="0015637C" w:rsidP="004C529C">
      <w:pPr>
        <w:pStyle w:val="0"/>
      </w:pPr>
    </w:p>
    <w:p w14:paraId="26BB2DC2" w14:textId="5DE242B6" w:rsidR="0015637C" w:rsidRDefault="0015637C" w:rsidP="004C529C">
      <w:pPr>
        <w:pStyle w:val="0"/>
      </w:pPr>
    </w:p>
    <w:p w14:paraId="59E4FBA3" w14:textId="1738A095" w:rsidR="0015637C" w:rsidRDefault="0015637C" w:rsidP="004C529C">
      <w:pPr>
        <w:pStyle w:val="0"/>
      </w:pPr>
    </w:p>
    <w:p w14:paraId="69E22A3C" w14:textId="6B493BB3" w:rsidR="0015637C" w:rsidRDefault="0015637C" w:rsidP="004C529C">
      <w:pPr>
        <w:pStyle w:val="0"/>
      </w:pPr>
    </w:p>
    <w:p w14:paraId="253C69BA" w14:textId="400E23AC" w:rsidR="0015637C" w:rsidRDefault="0015637C" w:rsidP="004C529C">
      <w:pPr>
        <w:pStyle w:val="0"/>
      </w:pPr>
    </w:p>
    <w:p w14:paraId="2C11E136" w14:textId="693F9F0C" w:rsidR="00F42915" w:rsidRDefault="00F42915" w:rsidP="004C529C">
      <w:pPr>
        <w:pStyle w:val="0"/>
      </w:pPr>
    </w:p>
    <w:p w14:paraId="28C17EC6" w14:textId="6F9819A7" w:rsidR="00F42915" w:rsidRDefault="00F42915" w:rsidP="004C529C">
      <w:pPr>
        <w:pStyle w:val="0"/>
      </w:pPr>
    </w:p>
    <w:p w14:paraId="240C14A9" w14:textId="7EF2A529" w:rsidR="00F42915" w:rsidRDefault="00F42915" w:rsidP="004C529C">
      <w:pPr>
        <w:pStyle w:val="0"/>
      </w:pPr>
    </w:p>
    <w:p w14:paraId="43CFAFD7" w14:textId="3736D83A" w:rsidR="00F42915" w:rsidRDefault="00F42915" w:rsidP="004C529C">
      <w:pPr>
        <w:pStyle w:val="0"/>
      </w:pPr>
    </w:p>
    <w:p w14:paraId="306ED537" w14:textId="77777777" w:rsidR="00F42915" w:rsidRDefault="00F42915" w:rsidP="004C529C">
      <w:pPr>
        <w:pStyle w:val="0"/>
      </w:pPr>
    </w:p>
    <w:p w14:paraId="312335E3" w14:textId="05F6402C" w:rsidR="0015637C" w:rsidRPr="00F42915" w:rsidRDefault="0015637C" w:rsidP="0015637C">
      <w:pPr>
        <w:pStyle w:val="0"/>
        <w:spacing w:afterLines="0" w:after="0" w:line="240" w:lineRule="auto"/>
        <w:rPr>
          <w:rFonts w:ascii="华文楷体" w:eastAsia="华文楷体" w:hAnsi="华文楷体"/>
          <w:b/>
          <w:bCs/>
          <w:sz w:val="72"/>
          <w:szCs w:val="56"/>
        </w:rPr>
      </w:pPr>
      <w:r w:rsidRPr="00F42915">
        <w:rPr>
          <w:rFonts w:ascii="华文楷体" w:eastAsia="华文楷体" w:hAnsi="华文楷体" w:hint="eastAsia"/>
          <w:b/>
          <w:bCs/>
          <w:sz w:val="72"/>
          <w:szCs w:val="56"/>
        </w:rPr>
        <w:t>Be.U Wellness Center</w:t>
      </w:r>
    </w:p>
    <w:p w14:paraId="53BE020B" w14:textId="62C23FDF" w:rsidR="0015637C" w:rsidRPr="00F42915" w:rsidRDefault="0015637C" w:rsidP="004C529C">
      <w:pPr>
        <w:pStyle w:val="0"/>
        <w:rPr>
          <w:b/>
          <w:bCs/>
          <w:sz w:val="56"/>
          <w:szCs w:val="52"/>
        </w:rPr>
      </w:pPr>
      <w:r w:rsidRPr="00F42915">
        <w:rPr>
          <w:rFonts w:hint="eastAsia"/>
          <w:b/>
          <w:bCs/>
          <w:sz w:val="56"/>
          <w:szCs w:val="52"/>
        </w:rPr>
        <w:t>功能医学</w:t>
      </w:r>
      <w:r w:rsidR="00C0663D" w:rsidRPr="00C0663D">
        <w:rPr>
          <w:b/>
          <w:bCs/>
          <w:sz w:val="56"/>
          <w:szCs w:val="52"/>
        </w:rPr>
        <w:t>健康报告</w:t>
      </w:r>
      <w:r w:rsidR="00A132E1">
        <w:rPr>
          <w:rFonts w:hint="eastAsia"/>
          <w:b/>
          <w:bCs/>
          <w:sz w:val="56"/>
          <w:szCs w:val="52"/>
        </w:rPr>
        <w:t>&amp;</w:t>
      </w:r>
      <w:r w:rsidR="00A132E1">
        <w:rPr>
          <w:rFonts w:hint="eastAsia"/>
          <w:b/>
          <w:bCs/>
          <w:sz w:val="56"/>
          <w:szCs w:val="52"/>
        </w:rPr>
        <w:t>定制化</w:t>
      </w:r>
      <w:r w:rsidR="00C0663D">
        <w:rPr>
          <w:rFonts w:hint="eastAsia"/>
          <w:b/>
          <w:bCs/>
          <w:sz w:val="56"/>
          <w:szCs w:val="52"/>
        </w:rPr>
        <w:t>方案</w:t>
      </w:r>
    </w:p>
    <w:p w14:paraId="238A2A61" w14:textId="3261031A" w:rsidR="004C529C" w:rsidRPr="00F42915" w:rsidRDefault="004C529C" w:rsidP="004C529C">
      <w:pPr>
        <w:pStyle w:val="0"/>
        <w:rPr>
          <w:sz w:val="36"/>
          <w:szCs w:val="32"/>
        </w:rPr>
      </w:pPr>
    </w:p>
    <w:p w14:paraId="41E17112" w14:textId="08721A11" w:rsidR="004C529C" w:rsidRDefault="004C529C" w:rsidP="004C529C">
      <w:pPr>
        <w:pStyle w:val="0"/>
      </w:pPr>
    </w:p>
    <w:p w14:paraId="27530F3B" w14:textId="02D6C818" w:rsidR="004C529C" w:rsidRDefault="00F42915">
      <w:pPr>
        <w:widowControl/>
        <w:spacing w:line="240" w:lineRule="auto"/>
        <w:jc w:val="left"/>
        <w:rPr>
          <w:rFonts w:cs="Times New Roman"/>
          <w:b/>
          <w:sz w:val="36"/>
          <w:szCs w:val="44"/>
        </w:rPr>
      </w:pPr>
      <w:r>
        <w:rPr>
          <w:noProof/>
        </w:rPr>
        <w:drawing>
          <wp:anchor distT="0" distB="0" distL="114300" distR="114300" simplePos="0" relativeHeight="251661312" behindDoc="0" locked="0" layoutInCell="1" allowOverlap="1" wp14:anchorId="3B52C14C" wp14:editId="0F076120">
            <wp:simplePos x="0" y="0"/>
            <wp:positionH relativeFrom="column">
              <wp:posOffset>2436906</wp:posOffset>
            </wp:positionH>
            <wp:positionV relativeFrom="paragraph">
              <wp:posOffset>2865120</wp:posOffset>
            </wp:positionV>
            <wp:extent cx="1172060" cy="232469"/>
            <wp:effectExtent l="0" t="0" r="0" b="0"/>
            <wp:wrapNone/>
            <wp:docPr id="4075260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087592" name="图片 178208759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72060" cy="232469"/>
                    </a:xfrm>
                    <a:prstGeom prst="rect">
                      <a:avLst/>
                    </a:prstGeom>
                  </pic:spPr>
                </pic:pic>
              </a:graphicData>
            </a:graphic>
            <wp14:sizeRelH relativeFrom="margin">
              <wp14:pctWidth>0</wp14:pctWidth>
            </wp14:sizeRelH>
            <wp14:sizeRelV relativeFrom="margin">
              <wp14:pctHeight>0</wp14:pctHeight>
            </wp14:sizeRelV>
          </wp:anchor>
        </w:drawing>
      </w:r>
      <w:r w:rsidR="004C529C">
        <w:br w:type="page"/>
      </w:r>
    </w:p>
    <w:p w14:paraId="5526950E" w14:textId="5415DD58" w:rsidR="0015637C" w:rsidRDefault="0015637C">
      <w:pPr>
        <w:widowControl/>
        <w:spacing w:line="240" w:lineRule="auto"/>
        <w:jc w:val="left"/>
      </w:pPr>
    </w:p>
    <w:p w14:paraId="03D81940" w14:textId="77777777" w:rsidR="009253BD" w:rsidRDefault="009253BD">
      <w:pPr>
        <w:widowControl/>
        <w:spacing w:line="240" w:lineRule="auto"/>
        <w:jc w:val="left"/>
      </w:pPr>
    </w:p>
    <w:p w14:paraId="7713779A" w14:textId="063FFE83" w:rsidR="009253BD" w:rsidRPr="00E74183" w:rsidRDefault="009253BD">
      <w:pPr>
        <w:widowControl/>
        <w:spacing w:line="240" w:lineRule="auto"/>
        <w:jc w:val="left"/>
        <w:rPr>
          <w:b/>
          <w:bCs/>
        </w:rPr>
      </w:pPr>
    </w:p>
    <w:p w14:paraId="6ABC7205" w14:textId="333BC701" w:rsidR="00F81CAD" w:rsidRPr="00E74183" w:rsidRDefault="009253BD" w:rsidP="009253BD">
      <w:pPr>
        <w:pStyle w:val="00"/>
      </w:pPr>
      <w:r w:rsidRPr="00E74183">
        <w:t>To every guest who comes to Be.U Wellness Center:</w:t>
      </w:r>
    </w:p>
    <w:p w14:paraId="15C625E9" w14:textId="45411959" w:rsidR="00F81CAD" w:rsidRPr="00E74183" w:rsidRDefault="009253BD">
      <w:pPr>
        <w:widowControl/>
        <w:spacing w:line="240" w:lineRule="auto"/>
        <w:jc w:val="left"/>
        <w:rPr>
          <w:b/>
          <w:bCs/>
        </w:rPr>
      </w:pPr>
      <w:r w:rsidRPr="00E74183">
        <w:rPr>
          <w:rFonts w:hint="eastAsia"/>
          <w:b/>
          <w:bCs/>
        </w:rPr>
        <w:t>致 来到Be.U Wellness Center的每一位宾客：</w:t>
      </w:r>
    </w:p>
    <w:p w14:paraId="0DF55D07" w14:textId="77777777" w:rsidR="009253BD" w:rsidRDefault="009253BD">
      <w:pPr>
        <w:widowControl/>
        <w:spacing w:line="240" w:lineRule="auto"/>
        <w:jc w:val="left"/>
      </w:pPr>
    </w:p>
    <w:p w14:paraId="0533FF9C" w14:textId="77777777" w:rsidR="009253BD" w:rsidRDefault="009253BD">
      <w:pPr>
        <w:widowControl/>
        <w:spacing w:line="240" w:lineRule="auto"/>
        <w:jc w:val="left"/>
      </w:pPr>
    </w:p>
    <w:p w14:paraId="0DAC9C49" w14:textId="70D7DA92" w:rsidR="00F81CAD" w:rsidRDefault="00F81CAD" w:rsidP="00F81CAD">
      <w:pPr>
        <w:pStyle w:val="00"/>
      </w:pPr>
      <w:r w:rsidRPr="00F81CAD">
        <w:t xml:space="preserve">Functional medicine testing represents a cornerstone of modern precision medicine and health management. Rather than focusing solely on diagnosing existing diseases, it emphasizes uncovering metabolic imbalances, endocrine dysfunctions, immune dysregulation, and chronic inflammatory states before clinical symptoms appear. By employing systematic testing, functional medicine provides a comprehensive health profile of </w:t>
      </w:r>
      <w:proofErr w:type="gramStart"/>
      <w:r w:rsidRPr="00F81CAD">
        <w:t>each individual</w:t>
      </w:r>
      <w:proofErr w:type="gramEnd"/>
      <w:r w:rsidRPr="00F81CAD">
        <w:t>, enabling early detection, timely intervention, and personalized management.</w:t>
      </w:r>
    </w:p>
    <w:p w14:paraId="23C18C5F" w14:textId="59C20B3D" w:rsidR="00F81CAD" w:rsidRDefault="00F81CAD" w:rsidP="00F81CAD">
      <w:pPr>
        <w:pStyle w:val="0"/>
      </w:pPr>
      <w:r>
        <w:t>功能医学检测是现代精准医疗与健康管理的重要基础。它不仅关注疾病的诊断，更强调在临床症状出现之前，揭示机体潜在的代谢异常、内分泌失衡、免疫功能紊乱以及慢性炎症状态。通过系统化的检测，功能医学能够全面描绘个体健康图谱，从而实现疾病的早筛查、早干预和个性化管理。</w:t>
      </w:r>
    </w:p>
    <w:p w14:paraId="5332E35D" w14:textId="1855488D" w:rsidR="00F81CAD" w:rsidRDefault="00F81CAD" w:rsidP="00F81CAD">
      <w:pPr>
        <w:pStyle w:val="00"/>
      </w:pPr>
      <w:r w:rsidRPr="00F81CAD">
        <w:t>Unlike conventional medicine, which often centers on treatment, functional medicine testing highlights holistic and preventive care. Covering a wide range of domains—from metabolism, immunity, and endocrinology to cardiovascular, skeletal, and cancer risk—these tests, when interpreted together, help identify hidden risks, trace underlying causes, and guide targeted nutrition and lifestyle interventions.</w:t>
      </w:r>
    </w:p>
    <w:p w14:paraId="6249523B" w14:textId="28251255" w:rsidR="00F81CAD" w:rsidRDefault="00F81CAD" w:rsidP="00F81CAD">
      <w:pPr>
        <w:pStyle w:val="0"/>
      </w:pPr>
      <w:r>
        <w:t>与传统医学单纯关注疾病治疗不同，功能医学检测更强调整体性和前瞻性。无论是代谢、免疫、内分泌、心脑血管，还是骨骼、肿瘤风险，功能医学检测都能通过多维度指标的联合解读，帮助发现健康隐患，追溯病因，指导精准营养与生活方式干预。</w:t>
      </w:r>
    </w:p>
    <w:p w14:paraId="31E48D68" w14:textId="13B693E6" w:rsidR="00F81CAD" w:rsidRDefault="00F81CAD" w:rsidP="00F81CAD">
      <w:pPr>
        <w:pStyle w:val="00"/>
      </w:pPr>
      <w:r w:rsidRPr="00F81CAD">
        <w:t>Thus, functional medicine testing is not only an adjunct to clinical diagnosis but also a core strategy in long-term health management, chronic disease prevention, and anti-aging medicine, providing a robust protective framework for modern health.</w:t>
      </w:r>
    </w:p>
    <w:p w14:paraId="6497FEF8" w14:textId="18FE8294" w:rsidR="00F81CAD" w:rsidRDefault="00F81CAD" w:rsidP="009253BD">
      <w:pPr>
        <w:pStyle w:val="0"/>
      </w:pPr>
      <w:r>
        <w:t>因此，功能医学检测不仅是临床诊疗的辅助工具，更是长期健康管理、慢病防控和抗衰老医学的核心环节，为现代人构建系统化的健康防护屏障。</w:t>
      </w:r>
    </w:p>
    <w:p w14:paraId="0B2362AB" w14:textId="7C275B6B" w:rsidR="009253BD" w:rsidRPr="009253BD" w:rsidRDefault="009253BD" w:rsidP="009253BD">
      <w:pPr>
        <w:pStyle w:val="00"/>
      </w:pPr>
      <w:r w:rsidRPr="009253BD">
        <w:t>Be.U Med is committed to being your most trusted choice on your health journey.</w:t>
      </w:r>
    </w:p>
    <w:p w14:paraId="25DB6134" w14:textId="678CF5C3" w:rsidR="009253BD" w:rsidRDefault="009253BD" w:rsidP="009253BD">
      <w:pPr>
        <w:pStyle w:val="00"/>
      </w:pPr>
      <w:r w:rsidRPr="009253BD">
        <w:t xml:space="preserve">Whether you are seeking anti-aging therapies or comprehensive health solutions, </w:t>
      </w:r>
      <w:proofErr w:type="gramStart"/>
      <w:r w:rsidRPr="009253BD">
        <w:t>Be</w:t>
      </w:r>
      <w:proofErr w:type="gramEnd"/>
      <w:r w:rsidRPr="009253BD">
        <w:t>.U Med will provide you with authoritative, trustworthy, and exceptional medical experiences.</w:t>
      </w:r>
    </w:p>
    <w:p w14:paraId="19CE3A38" w14:textId="77777777" w:rsidR="009253BD" w:rsidRPr="009253BD" w:rsidRDefault="009253BD" w:rsidP="009253BD">
      <w:pPr>
        <w:widowControl/>
        <w:spacing w:line="240" w:lineRule="auto"/>
        <w:jc w:val="left"/>
      </w:pPr>
      <w:r w:rsidRPr="009253BD">
        <w:t>Be.U医疗集团致力于成为您健康之旅中最值得信赖的选择。</w:t>
      </w:r>
    </w:p>
    <w:p w14:paraId="62A5A794" w14:textId="71945FCF" w:rsidR="009253BD" w:rsidRDefault="009253BD" w:rsidP="009253BD">
      <w:pPr>
        <w:widowControl/>
        <w:spacing w:line="240" w:lineRule="auto"/>
        <w:jc w:val="left"/>
      </w:pPr>
      <w:r w:rsidRPr="009253BD">
        <w:t>无论您在寻求抗衰老疗法还是全面健康方案，Be.U Med都将为您提供权威、信赖和卓越医疗体验。</w:t>
      </w:r>
    </w:p>
    <w:p w14:paraId="03A175DB" w14:textId="70DC4375" w:rsidR="00A47AD7" w:rsidRDefault="00A47AD7">
      <w:pPr>
        <w:widowControl/>
        <w:spacing w:line="240" w:lineRule="auto"/>
        <w:jc w:val="left"/>
      </w:pPr>
    </w:p>
    <w:p w14:paraId="6C7D659D" w14:textId="12980BD9" w:rsidR="006D1D5B" w:rsidRDefault="006D1D5B">
      <w:pPr>
        <w:widowControl/>
        <w:spacing w:line="240" w:lineRule="auto"/>
        <w:jc w:val="left"/>
      </w:pPr>
    </w:p>
    <w:p w14:paraId="27BD410A" w14:textId="77777777" w:rsidR="00F42915" w:rsidRDefault="00F42915">
      <w:pPr>
        <w:widowControl/>
        <w:spacing w:line="240" w:lineRule="auto"/>
        <w:jc w:val="left"/>
      </w:pPr>
    </w:p>
    <w:p w14:paraId="6908735B" w14:textId="72EA36CD" w:rsidR="009253BD" w:rsidRDefault="009253BD" w:rsidP="009253BD">
      <w:pPr>
        <w:pStyle w:val="00"/>
        <w:jc w:val="right"/>
      </w:pPr>
      <w:r>
        <w:t>M</w:t>
      </w:r>
      <w:r w:rsidRPr="009253BD">
        <w:t xml:space="preserve">ultidisciplinary </w:t>
      </w:r>
      <w:r>
        <w:t>I</w:t>
      </w:r>
      <w:r w:rsidRPr="009253BD">
        <w:t xml:space="preserve">nternational </w:t>
      </w:r>
      <w:r>
        <w:t>M</w:t>
      </w:r>
      <w:r w:rsidRPr="009253BD">
        <w:t xml:space="preserve">edical </w:t>
      </w:r>
      <w:r>
        <w:t>T</w:t>
      </w:r>
      <w:r w:rsidRPr="009253BD">
        <w:t>eam</w:t>
      </w:r>
      <w:r>
        <w:t xml:space="preserve"> from </w:t>
      </w:r>
      <w:r w:rsidRPr="009253BD">
        <w:t>Be.U Med</w:t>
      </w:r>
    </w:p>
    <w:p w14:paraId="51D260FB" w14:textId="2325F939" w:rsidR="00F81CAD" w:rsidRDefault="00F81CAD" w:rsidP="00F81CAD">
      <w:pPr>
        <w:widowControl/>
        <w:spacing w:line="240" w:lineRule="auto"/>
        <w:jc w:val="right"/>
        <w:rPr>
          <w:b/>
          <w:bCs/>
        </w:rPr>
      </w:pPr>
      <w:r w:rsidRPr="00F81CAD">
        <w:rPr>
          <w:rFonts w:hint="eastAsia"/>
          <w:b/>
          <w:bCs/>
        </w:rPr>
        <w:t>Be.U Med 多学科国际医学团队</w:t>
      </w:r>
    </w:p>
    <w:p w14:paraId="26331395" w14:textId="4F146192" w:rsidR="00F81CAD" w:rsidRDefault="009253BD" w:rsidP="00F81CAD">
      <w:pPr>
        <w:widowControl/>
        <w:spacing w:line="240" w:lineRule="auto"/>
        <w:jc w:val="right"/>
        <w:rPr>
          <w:b/>
          <w:bCs/>
        </w:rPr>
      </w:pPr>
      <w:r>
        <w:rPr>
          <w:b/>
          <w:bCs/>
        </w:rPr>
        <w:t>03/</w:t>
      </w:r>
      <w:r w:rsidR="00F81CAD">
        <w:rPr>
          <w:rFonts w:hint="eastAsia"/>
          <w:b/>
          <w:bCs/>
        </w:rPr>
        <w:t>2024</w:t>
      </w:r>
    </w:p>
    <w:p w14:paraId="457000E8" w14:textId="77777777" w:rsidR="00F81CAD" w:rsidRDefault="00F81CAD">
      <w:pPr>
        <w:widowControl/>
        <w:spacing w:line="240" w:lineRule="auto"/>
        <w:jc w:val="left"/>
        <w:rPr>
          <w:rFonts w:cs="Times New Roman"/>
          <w:b/>
          <w:sz w:val="36"/>
          <w:szCs w:val="44"/>
        </w:rPr>
      </w:pPr>
      <w:r>
        <w:br w:type="page"/>
      </w:r>
    </w:p>
    <w:p w14:paraId="2A5C8F8A" w14:textId="77777777" w:rsidR="00A47AD7" w:rsidRDefault="00A47AD7">
      <w:pPr>
        <w:widowControl/>
        <w:spacing w:line="240" w:lineRule="auto"/>
        <w:jc w:val="left"/>
      </w:pPr>
    </w:p>
    <w:p w14:paraId="6A0300E0" w14:textId="77777777" w:rsidR="00A47AD7" w:rsidRDefault="00A47AD7">
      <w:pPr>
        <w:widowControl/>
        <w:spacing w:line="240" w:lineRule="auto"/>
        <w:jc w:val="left"/>
      </w:pPr>
    </w:p>
    <w:p w14:paraId="5484D3C0" w14:textId="77777777" w:rsidR="00A47AD7" w:rsidRDefault="00A47AD7">
      <w:pPr>
        <w:widowControl/>
        <w:spacing w:line="240" w:lineRule="auto"/>
        <w:jc w:val="left"/>
      </w:pPr>
    </w:p>
    <w:p w14:paraId="59E75517" w14:textId="530602A8" w:rsidR="005A513C" w:rsidRPr="00A47AD7" w:rsidRDefault="005A513C" w:rsidP="005A513C">
      <w:pPr>
        <w:pStyle w:val="00"/>
        <w:rPr>
          <w:b/>
          <w:bCs/>
          <w:sz w:val="24"/>
          <w:szCs w:val="40"/>
        </w:rPr>
      </w:pPr>
      <w:r w:rsidRPr="00A47AD7">
        <w:rPr>
          <w:b/>
          <w:bCs/>
          <w:sz w:val="24"/>
          <w:szCs w:val="40"/>
        </w:rPr>
        <w:t>World-class Medical Complex</w:t>
      </w:r>
    </w:p>
    <w:p w14:paraId="71573DDF" w14:textId="681B8A59" w:rsidR="005A513C" w:rsidRPr="00A47AD7" w:rsidRDefault="005A513C" w:rsidP="005A513C">
      <w:pPr>
        <w:pStyle w:val="0"/>
        <w:rPr>
          <w:b/>
          <w:bCs/>
          <w:sz w:val="32"/>
          <w:szCs w:val="28"/>
        </w:rPr>
      </w:pPr>
      <w:r w:rsidRPr="00A47AD7">
        <w:rPr>
          <w:b/>
          <w:bCs/>
          <w:sz w:val="32"/>
          <w:szCs w:val="28"/>
        </w:rPr>
        <w:t>世界一流的医疗综合体</w:t>
      </w:r>
    </w:p>
    <w:p w14:paraId="1FEBD228" w14:textId="2F00567D" w:rsidR="005A513C" w:rsidRDefault="005A513C" w:rsidP="005A513C">
      <w:pPr>
        <w:pStyle w:val="00"/>
      </w:pPr>
      <w:r w:rsidRPr="005A513C">
        <w:t>Be.U Medical Group was established in 2018 and has continuously provided top-tier medical services, including anti-aging, health management, and medical aesthetics, to clients from around the world, including significant figures from various political and business sectors.</w:t>
      </w:r>
    </w:p>
    <w:p w14:paraId="4FA714D2" w14:textId="789430A8" w:rsidR="005A513C" w:rsidRDefault="005A513C" w:rsidP="005A513C">
      <w:pPr>
        <w:pStyle w:val="0"/>
      </w:pPr>
      <w:r w:rsidRPr="005A513C">
        <w:t>Be.U</w:t>
      </w:r>
      <w:r w:rsidRPr="005A513C">
        <w:t>医疗集团成立于</w:t>
      </w:r>
      <w:r w:rsidRPr="005A513C">
        <w:t>2018</w:t>
      </w:r>
      <w:r w:rsidRPr="005A513C">
        <w:t>年，一直为世界各国客户提供抗衰老、健康管理、医疗美容等顶尖医疗服务，包括了多国政商界的重要人士。</w:t>
      </w:r>
    </w:p>
    <w:p w14:paraId="6D18A262" w14:textId="73663B39" w:rsidR="005A513C" w:rsidRDefault="005A513C" w:rsidP="005A513C">
      <w:pPr>
        <w:pStyle w:val="00"/>
      </w:pPr>
      <w:r w:rsidRPr="005A513C">
        <w:t xml:space="preserve">The headquarters of Be.U Medical Group </w:t>
      </w:r>
      <w:proofErr w:type="gramStart"/>
      <w:r w:rsidRPr="005A513C">
        <w:t>is located in</w:t>
      </w:r>
      <w:proofErr w:type="gramEnd"/>
      <w:r w:rsidRPr="005A513C">
        <w:t xml:space="preserve"> the heart of Bangkok, Thailand, known as the "City of Angels," with branches focusing on the Southeast Asian region, including medical centers in Manila, Philippines; Kuala Lumpur, Malaysia; Phnom Penh, Cambodia; and Hong Kong, China.</w:t>
      </w:r>
      <w:r w:rsidRPr="005A513C">
        <w:tab/>
      </w:r>
    </w:p>
    <w:p w14:paraId="35E67F74" w14:textId="27C350F3" w:rsidR="00A47AD7" w:rsidRDefault="005A513C" w:rsidP="005A513C">
      <w:pPr>
        <w:pStyle w:val="0"/>
      </w:pPr>
      <w:r w:rsidRPr="005A513C">
        <w:t>Be.U</w:t>
      </w:r>
      <w:r w:rsidRPr="005A513C">
        <w:t>医疗集团总部坐落于国际大都会、享有</w:t>
      </w:r>
      <w:r w:rsidRPr="005A513C">
        <w:t>“</w:t>
      </w:r>
      <w:r w:rsidRPr="005A513C">
        <w:t>天使之城</w:t>
      </w:r>
      <w:r w:rsidRPr="005A513C">
        <w:t>”</w:t>
      </w:r>
      <w:r w:rsidRPr="005A513C">
        <w:t>美誉的泰国曼谷市中心，分支以东南亚地区为核心，在菲律宾</w:t>
      </w:r>
      <w:r w:rsidRPr="005A513C">
        <w:t>-</w:t>
      </w:r>
      <w:r w:rsidRPr="005A513C">
        <w:t>马尼拉、马来西亚</w:t>
      </w:r>
      <w:r w:rsidRPr="005A513C">
        <w:t>-</w:t>
      </w:r>
      <w:r w:rsidRPr="005A513C">
        <w:t>吉隆坡、柬埔寨</w:t>
      </w:r>
      <w:r w:rsidRPr="005A513C">
        <w:t>-</w:t>
      </w:r>
      <w:r w:rsidRPr="005A513C">
        <w:t>金边、中国香港等国家</w:t>
      </w:r>
      <w:r>
        <w:rPr>
          <w:rFonts w:hint="eastAsia"/>
        </w:rPr>
        <w:t>/</w:t>
      </w:r>
      <w:r w:rsidRPr="005A513C">
        <w:t>地区均设有医疗中心。</w:t>
      </w:r>
    </w:p>
    <w:p w14:paraId="3F536FCD" w14:textId="0B054835" w:rsidR="00A47AD7" w:rsidRDefault="00ED7D56" w:rsidP="00A47AD7">
      <w:pPr>
        <w:pStyle w:val="0"/>
        <w:spacing w:afterLines="30" w:after="72"/>
        <w:rPr>
          <w:b/>
          <w:bCs/>
        </w:rPr>
      </w:pPr>
      <w:r>
        <w:rPr>
          <w:b/>
          <w:bCs/>
          <w:noProof/>
        </w:rPr>
        <w:drawing>
          <wp:anchor distT="0" distB="0" distL="114300" distR="114300" simplePos="0" relativeHeight="251658240" behindDoc="1" locked="0" layoutInCell="1" allowOverlap="1" wp14:anchorId="1FB62DF8" wp14:editId="7B96FD29">
            <wp:simplePos x="0" y="0"/>
            <wp:positionH relativeFrom="column">
              <wp:posOffset>18415</wp:posOffset>
            </wp:positionH>
            <wp:positionV relativeFrom="paragraph">
              <wp:posOffset>-5715</wp:posOffset>
            </wp:positionV>
            <wp:extent cx="6080125" cy="4889500"/>
            <wp:effectExtent l="0" t="0" r="3175" b="0"/>
            <wp:wrapNone/>
            <wp:docPr id="12445916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59162" name="图片 124459162"/>
                    <pic:cNvPicPr/>
                  </pic:nvPicPr>
                  <pic:blipFill rotWithShape="1">
                    <a:blip r:embed="rId9" cstate="print">
                      <a:extLst>
                        <a:ext uri="{28A0092B-C50C-407E-A947-70E740481C1C}">
                          <a14:useLocalDpi xmlns:a14="http://schemas.microsoft.com/office/drawing/2010/main" val="0"/>
                        </a:ext>
                      </a:extLst>
                    </a:blip>
                    <a:srcRect b="2762"/>
                    <a:stretch>
                      <a:fillRect/>
                    </a:stretch>
                  </pic:blipFill>
                  <pic:spPr bwMode="auto">
                    <a:xfrm>
                      <a:off x="0" y="0"/>
                      <a:ext cx="6080125" cy="4889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3E81BDE" w14:textId="592AB8BF" w:rsidR="00A47AD7" w:rsidRPr="00A47AD7" w:rsidRDefault="00A47AD7" w:rsidP="00F828FD">
      <w:pPr>
        <w:pStyle w:val="0"/>
        <w:spacing w:afterLines="30" w:after="72"/>
        <w:ind w:leftChars="200" w:left="440" w:rightChars="35" w:right="77"/>
        <w:rPr>
          <w:b/>
          <w:bCs/>
        </w:rPr>
      </w:pPr>
      <w:r w:rsidRPr="00A47AD7">
        <w:rPr>
          <w:b/>
          <w:bCs/>
        </w:rPr>
        <w:t>“</w:t>
      </w:r>
      <w:r w:rsidRPr="00A47AD7">
        <w:rPr>
          <w:b/>
          <w:bCs/>
        </w:rPr>
        <w:t>权威</w:t>
      </w:r>
      <w:r w:rsidRPr="00A47AD7">
        <w:rPr>
          <w:b/>
          <w:bCs/>
        </w:rPr>
        <w:t>”</w:t>
      </w:r>
      <w:r w:rsidRPr="00A47AD7">
        <w:rPr>
          <w:b/>
          <w:bCs/>
        </w:rPr>
        <w:t>医学</w:t>
      </w:r>
      <w:r w:rsidRPr="00A47AD7">
        <w:rPr>
          <w:b/>
          <w:bCs/>
        </w:rPr>
        <w:t xml:space="preserve">  Authoritative Medicine</w:t>
      </w:r>
    </w:p>
    <w:p w14:paraId="5F4B36C6" w14:textId="78728CB6" w:rsidR="00A47AD7" w:rsidRPr="00A47AD7" w:rsidRDefault="00A47AD7" w:rsidP="00F828FD">
      <w:pPr>
        <w:pStyle w:val="00"/>
        <w:ind w:leftChars="400" w:left="880" w:rightChars="35" w:right="77"/>
        <w:rPr>
          <w:sz w:val="18"/>
          <w:szCs w:val="24"/>
        </w:rPr>
      </w:pPr>
      <w:r w:rsidRPr="00A47AD7">
        <w:rPr>
          <w:sz w:val="18"/>
          <w:szCs w:val="24"/>
        </w:rPr>
        <w:t xml:space="preserve">Be.U Med continues to advance the world's cutting-edge medical research and treatments, leading the development of regenerative medicine, </w:t>
      </w:r>
      <w:r w:rsidR="00F828FD" w:rsidRPr="00A47AD7">
        <w:rPr>
          <w:sz w:val="18"/>
          <w:szCs w:val="24"/>
        </w:rPr>
        <w:t>to</w:t>
      </w:r>
      <w:r w:rsidRPr="00A47AD7">
        <w:rPr>
          <w:sz w:val="18"/>
          <w:szCs w:val="24"/>
        </w:rPr>
        <w:t xml:space="preserve"> better provide customers with authoritative medical solutions and treatment results.</w:t>
      </w:r>
    </w:p>
    <w:p w14:paraId="45B6C8F5" w14:textId="60B120E1" w:rsidR="00A47AD7" w:rsidRPr="00A47AD7" w:rsidRDefault="00A47AD7" w:rsidP="00F828FD">
      <w:pPr>
        <w:pStyle w:val="0"/>
        <w:ind w:leftChars="400" w:left="880" w:rightChars="35" w:right="77"/>
        <w:rPr>
          <w:sz w:val="21"/>
          <w:szCs w:val="20"/>
        </w:rPr>
      </w:pPr>
      <w:r w:rsidRPr="00A47AD7">
        <w:rPr>
          <w:sz w:val="21"/>
          <w:szCs w:val="20"/>
        </w:rPr>
        <w:t>Be.U Med</w:t>
      </w:r>
      <w:r w:rsidRPr="00A47AD7">
        <w:rPr>
          <w:sz w:val="21"/>
          <w:szCs w:val="20"/>
        </w:rPr>
        <w:t>不断推进全球前沿的医学研究和治疗方法，引领再生医学发展，以更好地为客户提供权威医疗方案与治疗效果。</w:t>
      </w:r>
    </w:p>
    <w:p w14:paraId="3E99BE0E" w14:textId="67D6FE67" w:rsidR="00A47AD7" w:rsidRPr="00A47AD7" w:rsidRDefault="00A47AD7" w:rsidP="00F828FD">
      <w:pPr>
        <w:pStyle w:val="0"/>
        <w:spacing w:afterLines="30" w:after="72"/>
        <w:ind w:leftChars="200" w:left="440" w:rightChars="35" w:right="77"/>
        <w:rPr>
          <w:b/>
          <w:bCs/>
        </w:rPr>
      </w:pPr>
      <w:r w:rsidRPr="00A47AD7">
        <w:rPr>
          <w:b/>
          <w:bCs/>
        </w:rPr>
        <w:t>“</w:t>
      </w:r>
      <w:r w:rsidRPr="00A47AD7">
        <w:rPr>
          <w:b/>
          <w:bCs/>
        </w:rPr>
        <w:t>信赖</w:t>
      </w:r>
      <w:r w:rsidRPr="00A47AD7">
        <w:rPr>
          <w:b/>
          <w:bCs/>
        </w:rPr>
        <w:t>”</w:t>
      </w:r>
      <w:r w:rsidRPr="00A47AD7">
        <w:rPr>
          <w:b/>
          <w:bCs/>
        </w:rPr>
        <w:t>护理</w:t>
      </w:r>
      <w:r w:rsidRPr="00A47AD7">
        <w:rPr>
          <w:b/>
          <w:bCs/>
        </w:rPr>
        <w:t xml:space="preserve">  Trustworthy Care</w:t>
      </w:r>
    </w:p>
    <w:p w14:paraId="0277B879" w14:textId="567B67C4" w:rsidR="00A47AD7" w:rsidRPr="00A47AD7" w:rsidRDefault="00A47AD7" w:rsidP="00F828FD">
      <w:pPr>
        <w:pStyle w:val="00"/>
        <w:ind w:leftChars="400" w:left="880" w:rightChars="35" w:right="77"/>
        <w:rPr>
          <w:sz w:val="18"/>
          <w:szCs w:val="24"/>
        </w:rPr>
      </w:pPr>
      <w:r w:rsidRPr="00A47AD7">
        <w:rPr>
          <w:sz w:val="18"/>
          <w:szCs w:val="24"/>
        </w:rPr>
        <w:t>Be.U Med provides personalized care solutions that meet the unique needs and health goals of global clients, ensuring that each client is treated with respect and understanding, becoming a trusted medical center.</w:t>
      </w:r>
    </w:p>
    <w:p w14:paraId="03EF97AE" w14:textId="07E636CC" w:rsidR="00A47AD7" w:rsidRPr="00A47AD7" w:rsidRDefault="00A47AD7" w:rsidP="00F828FD">
      <w:pPr>
        <w:pStyle w:val="0"/>
        <w:ind w:leftChars="400" w:left="880" w:rightChars="35" w:right="77"/>
        <w:rPr>
          <w:sz w:val="21"/>
          <w:szCs w:val="20"/>
        </w:rPr>
      </w:pPr>
      <w:r w:rsidRPr="00A47AD7">
        <w:rPr>
          <w:sz w:val="21"/>
          <w:szCs w:val="20"/>
        </w:rPr>
        <w:t>Be.U Med</w:t>
      </w:r>
      <w:r w:rsidRPr="00A47AD7">
        <w:rPr>
          <w:sz w:val="21"/>
          <w:szCs w:val="20"/>
        </w:rPr>
        <w:t>提供满足全球客户独特需求和健康目标的个性化护理方案，客户都能得到尊重与理解，成为值得信赖的医疗中心。</w:t>
      </w:r>
    </w:p>
    <w:p w14:paraId="618B0A6D" w14:textId="5D6A4D03" w:rsidR="00A47AD7" w:rsidRPr="00A47AD7" w:rsidRDefault="00A47AD7" w:rsidP="00F828FD">
      <w:pPr>
        <w:pStyle w:val="0"/>
        <w:spacing w:afterLines="30" w:after="72"/>
        <w:ind w:leftChars="200" w:left="440" w:rightChars="35" w:right="77"/>
        <w:rPr>
          <w:b/>
          <w:bCs/>
        </w:rPr>
      </w:pPr>
      <w:r w:rsidRPr="00A47AD7">
        <w:rPr>
          <w:b/>
          <w:bCs/>
        </w:rPr>
        <w:t>“</w:t>
      </w:r>
      <w:r w:rsidRPr="00A47AD7">
        <w:rPr>
          <w:b/>
          <w:bCs/>
        </w:rPr>
        <w:t>卓越</w:t>
      </w:r>
      <w:r w:rsidRPr="00A47AD7">
        <w:rPr>
          <w:b/>
          <w:bCs/>
        </w:rPr>
        <w:t>”</w:t>
      </w:r>
      <w:r w:rsidRPr="00A47AD7">
        <w:rPr>
          <w:b/>
          <w:bCs/>
        </w:rPr>
        <w:t>发展</w:t>
      </w:r>
      <w:r w:rsidRPr="00A47AD7">
        <w:rPr>
          <w:b/>
          <w:bCs/>
        </w:rPr>
        <w:t xml:space="preserve">  Excellence Development</w:t>
      </w:r>
    </w:p>
    <w:p w14:paraId="7CFC3ED2" w14:textId="681B0856" w:rsidR="00A47AD7" w:rsidRPr="00A47AD7" w:rsidRDefault="00A47AD7" w:rsidP="00F828FD">
      <w:pPr>
        <w:pStyle w:val="00"/>
        <w:ind w:leftChars="400" w:left="880" w:rightChars="35" w:right="77"/>
        <w:rPr>
          <w:sz w:val="18"/>
          <w:szCs w:val="24"/>
        </w:rPr>
      </w:pPr>
      <w:r w:rsidRPr="00A47AD7">
        <w:rPr>
          <w:sz w:val="18"/>
          <w:szCs w:val="24"/>
        </w:rPr>
        <w:t xml:space="preserve">Be.U Med continues to expand global collaboration and knowledge sharing in the field of regenerative </w:t>
      </w:r>
      <w:proofErr w:type="gramStart"/>
      <w:r w:rsidRPr="00A47AD7">
        <w:rPr>
          <w:sz w:val="18"/>
          <w:szCs w:val="24"/>
        </w:rPr>
        <w:t>medicine, and</w:t>
      </w:r>
      <w:proofErr w:type="gramEnd"/>
      <w:r w:rsidRPr="00A47AD7">
        <w:rPr>
          <w:sz w:val="18"/>
          <w:szCs w:val="24"/>
        </w:rPr>
        <w:t xml:space="preserve"> is committed to excellence and to becoming a leading international centre for regenerative medicine.</w:t>
      </w:r>
    </w:p>
    <w:p w14:paraId="446CCC62" w14:textId="25D0E097" w:rsidR="00A47AD7" w:rsidRPr="00A47AD7" w:rsidRDefault="00A47AD7" w:rsidP="00F828FD">
      <w:pPr>
        <w:pStyle w:val="0"/>
        <w:ind w:leftChars="400" w:left="880" w:rightChars="35" w:right="77"/>
        <w:rPr>
          <w:sz w:val="21"/>
          <w:szCs w:val="20"/>
        </w:rPr>
      </w:pPr>
      <w:r w:rsidRPr="00A47AD7">
        <w:rPr>
          <w:sz w:val="21"/>
          <w:szCs w:val="20"/>
        </w:rPr>
        <w:t>Be.U Med</w:t>
      </w:r>
      <w:r w:rsidRPr="00A47AD7">
        <w:rPr>
          <w:sz w:val="21"/>
          <w:szCs w:val="20"/>
        </w:rPr>
        <w:t>在再生医学领域不断拓展全球合作与知识共享，致力于卓越发展，成为国际顶尖再生医学中心。</w:t>
      </w:r>
    </w:p>
    <w:p w14:paraId="7E13AC4D" w14:textId="1A0689EE" w:rsidR="00A47AD7" w:rsidRPr="00A47AD7" w:rsidRDefault="00A47AD7" w:rsidP="00F828FD">
      <w:pPr>
        <w:pStyle w:val="0"/>
        <w:spacing w:afterLines="30" w:after="72"/>
        <w:ind w:leftChars="200" w:left="440" w:rightChars="35" w:right="77"/>
        <w:rPr>
          <w:b/>
          <w:bCs/>
        </w:rPr>
      </w:pPr>
      <w:r w:rsidRPr="00A47AD7">
        <w:rPr>
          <w:b/>
          <w:bCs/>
        </w:rPr>
        <w:t>“</w:t>
      </w:r>
      <w:r w:rsidRPr="00A47AD7">
        <w:rPr>
          <w:b/>
          <w:bCs/>
        </w:rPr>
        <w:t>可持续</w:t>
      </w:r>
      <w:r w:rsidRPr="00A47AD7">
        <w:rPr>
          <w:b/>
          <w:bCs/>
        </w:rPr>
        <w:t>”</w:t>
      </w:r>
      <w:r w:rsidRPr="00A47AD7">
        <w:rPr>
          <w:b/>
          <w:bCs/>
        </w:rPr>
        <w:t>成长</w:t>
      </w:r>
      <w:r w:rsidRPr="00A47AD7">
        <w:rPr>
          <w:b/>
          <w:bCs/>
        </w:rPr>
        <w:t xml:space="preserve">  Sustainable Growth</w:t>
      </w:r>
    </w:p>
    <w:p w14:paraId="6F327ABB" w14:textId="1555A9E9" w:rsidR="00A47AD7" w:rsidRPr="00A47AD7" w:rsidRDefault="00A47AD7" w:rsidP="00F828FD">
      <w:pPr>
        <w:pStyle w:val="00"/>
        <w:ind w:leftChars="400" w:left="880" w:rightChars="35" w:right="77"/>
        <w:rPr>
          <w:sz w:val="18"/>
          <w:szCs w:val="24"/>
        </w:rPr>
      </w:pPr>
      <w:r w:rsidRPr="00A47AD7">
        <w:rPr>
          <w:sz w:val="18"/>
          <w:szCs w:val="24"/>
        </w:rPr>
        <w:t>Be.U Med invests in the refined training and development of all staff, fostering a culture of continuous learning and innovation to maintain high international standards of medical care.</w:t>
      </w:r>
    </w:p>
    <w:p w14:paraId="4E755B0E" w14:textId="318EB0FE" w:rsidR="00A47AD7" w:rsidRPr="00411778" w:rsidRDefault="00A47AD7" w:rsidP="00F828FD">
      <w:pPr>
        <w:pStyle w:val="0"/>
        <w:ind w:leftChars="400" w:left="880" w:rightChars="35" w:right="77"/>
        <w:rPr>
          <w:sz w:val="21"/>
          <w:szCs w:val="20"/>
        </w:rPr>
      </w:pPr>
      <w:r w:rsidRPr="00A47AD7">
        <w:rPr>
          <w:sz w:val="21"/>
          <w:szCs w:val="20"/>
        </w:rPr>
        <w:t>Be.U Med</w:t>
      </w:r>
      <w:r w:rsidRPr="00A47AD7">
        <w:rPr>
          <w:sz w:val="21"/>
          <w:szCs w:val="20"/>
        </w:rPr>
        <w:t>投资于全体员工的精细化培训与发展，培养不断学习和创新的文化，以保持国际高标准的医疗服务。</w:t>
      </w:r>
      <w:r>
        <w:br w:type="page"/>
      </w:r>
    </w:p>
    <w:p w14:paraId="40903662" w14:textId="12409306" w:rsidR="00A47AD7" w:rsidRDefault="00A47AD7">
      <w:pPr>
        <w:widowControl/>
        <w:spacing w:line="240" w:lineRule="auto"/>
        <w:jc w:val="left"/>
      </w:pPr>
    </w:p>
    <w:p w14:paraId="31F6B913" w14:textId="77777777" w:rsidR="00A47AD7" w:rsidRDefault="00A47AD7">
      <w:pPr>
        <w:widowControl/>
        <w:spacing w:line="240" w:lineRule="auto"/>
        <w:jc w:val="left"/>
      </w:pPr>
    </w:p>
    <w:p w14:paraId="4B436B8E" w14:textId="77777777" w:rsidR="00A47AD7" w:rsidRDefault="00A47AD7">
      <w:pPr>
        <w:widowControl/>
        <w:spacing w:line="240" w:lineRule="auto"/>
        <w:jc w:val="left"/>
      </w:pPr>
    </w:p>
    <w:p w14:paraId="340EF2A0" w14:textId="77777777" w:rsidR="00A47AD7" w:rsidRPr="00A47AD7" w:rsidRDefault="00A47AD7" w:rsidP="00A47AD7">
      <w:pPr>
        <w:pStyle w:val="00"/>
        <w:rPr>
          <w:b/>
          <w:bCs/>
          <w:sz w:val="24"/>
          <w:szCs w:val="40"/>
        </w:rPr>
      </w:pPr>
      <w:r w:rsidRPr="00A47AD7">
        <w:rPr>
          <w:b/>
          <w:bCs/>
          <w:sz w:val="24"/>
          <w:szCs w:val="40"/>
        </w:rPr>
        <w:t>Worldwide Leader in Regenerative Medicine</w:t>
      </w:r>
    </w:p>
    <w:p w14:paraId="2D4AE5B9" w14:textId="6126CAD1" w:rsidR="00A47AD7" w:rsidRPr="00A47AD7" w:rsidRDefault="00A47AD7" w:rsidP="00A47AD7">
      <w:pPr>
        <w:pStyle w:val="0"/>
        <w:rPr>
          <w:b/>
          <w:bCs/>
          <w:sz w:val="32"/>
          <w:szCs w:val="28"/>
        </w:rPr>
      </w:pPr>
      <w:r w:rsidRPr="00A47AD7">
        <w:rPr>
          <w:b/>
          <w:bCs/>
          <w:sz w:val="32"/>
          <w:szCs w:val="28"/>
        </w:rPr>
        <w:t>再生医学领域的全球先驱</w:t>
      </w:r>
    </w:p>
    <w:p w14:paraId="2D0E1D42" w14:textId="77777777" w:rsidR="00A47AD7" w:rsidRDefault="00A47AD7" w:rsidP="00A47AD7">
      <w:pPr>
        <w:pStyle w:val="00"/>
      </w:pPr>
    </w:p>
    <w:p w14:paraId="62875E37" w14:textId="283FA79E" w:rsidR="00A47AD7" w:rsidRDefault="00A47AD7" w:rsidP="00A47AD7">
      <w:pPr>
        <w:pStyle w:val="00"/>
      </w:pPr>
      <w:r w:rsidRPr="005A513C">
        <w:t xml:space="preserve">Operating under a management framework with a global vision, </w:t>
      </w:r>
      <w:proofErr w:type="gramStart"/>
      <w:r w:rsidRPr="005A513C">
        <w:t>Be</w:t>
      </w:r>
      <w:proofErr w:type="gramEnd"/>
      <w:r w:rsidRPr="005A513C">
        <w:t xml:space="preserve">.U Med strives to offer authoritative, excellence, and trustworthy medical support to a broad international clientele, thereby redefining the professional healthcare and luxury medical service experience. Acting as a globally integrated medical group, </w:t>
      </w:r>
      <w:proofErr w:type="gramStart"/>
      <w:r w:rsidRPr="005A513C">
        <w:t>Be</w:t>
      </w:r>
      <w:proofErr w:type="gramEnd"/>
      <w:r w:rsidRPr="005A513C">
        <w:t>.U Med specializes in anti-aging, health management, and medical aesthetics, establishing worldwide standards for medical safety, accuracy, and patient satisfaction.</w:t>
      </w:r>
    </w:p>
    <w:p w14:paraId="7E364DB3" w14:textId="77777777" w:rsidR="00A47AD7" w:rsidRDefault="00A47AD7" w:rsidP="00A47AD7">
      <w:pPr>
        <w:pStyle w:val="0"/>
      </w:pPr>
      <w:r w:rsidRPr="005A513C">
        <w:t>在全球化视野的管理框架下，</w:t>
      </w:r>
      <w:r w:rsidRPr="005A513C">
        <w:t>Be.U</w:t>
      </w:r>
      <w:r w:rsidRPr="005A513C">
        <w:t>医疗集团致力于向广大国际客户提供权威、卓越、值得信赖的医疗支持，重新定义专业医疗保健和奢华医疗服务体验。作为一家全球联动的医疗集团，</w:t>
      </w:r>
      <w:r w:rsidRPr="005A513C">
        <w:t>Be.U</w:t>
      </w:r>
      <w:r w:rsidRPr="005A513C">
        <w:t>医疗集团专注于抗衰老、健康管理、医疗美容，为医疗安全性、精准性和患者满意度设定全球基准。</w:t>
      </w:r>
    </w:p>
    <w:p w14:paraId="0AF9D53B" w14:textId="77777777" w:rsidR="00A47AD7" w:rsidRPr="003222A6" w:rsidRDefault="00A47AD7" w:rsidP="00A47AD7">
      <w:pPr>
        <w:pStyle w:val="0"/>
        <w:rPr>
          <w:sz w:val="13"/>
          <w:szCs w:val="11"/>
        </w:rPr>
      </w:pPr>
    </w:p>
    <w:p w14:paraId="08FBFB51" w14:textId="45E509A6" w:rsidR="00A47AD7" w:rsidRDefault="00A47AD7" w:rsidP="00A47AD7">
      <w:pPr>
        <w:pStyle w:val="0"/>
      </w:pPr>
      <w:r w:rsidRPr="00A47AD7">
        <w:rPr>
          <w:noProof/>
        </w:rPr>
        <w:drawing>
          <wp:inline distT="0" distB="0" distL="0" distR="0" wp14:anchorId="7EAFFA1F" wp14:editId="0B593263">
            <wp:extent cx="6080760" cy="2267585"/>
            <wp:effectExtent l="0" t="0" r="2540" b="5715"/>
            <wp:docPr id="9" name="图片占位符 8">
              <a:extLst xmlns:a="http://schemas.openxmlformats.org/drawingml/2006/main">
                <a:ext uri="{FF2B5EF4-FFF2-40B4-BE49-F238E27FC236}">
                  <a16:creationId xmlns:a16="http://schemas.microsoft.com/office/drawing/2014/main" id="{B1CA8452-4084-2552-D058-F1995A665DCE}"/>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 name="图片占位符 8">
                      <a:extLst>
                        <a:ext uri="{FF2B5EF4-FFF2-40B4-BE49-F238E27FC236}">
                          <a16:creationId xmlns:a16="http://schemas.microsoft.com/office/drawing/2014/main" id="{B1CA8452-4084-2552-D058-F1995A665DCE}"/>
                        </a:ext>
                      </a:extLst>
                    </pic:cNvPr>
                    <pic:cNvPicPr>
                      <a:picLocks noGrp="1" noChangeAspect="1"/>
                    </pic:cNvPicPr>
                  </pic:nvPicPr>
                  <pic:blipFill>
                    <a:blip r:embed="rId10"/>
                    <a:srcRect t="21366" b="22690"/>
                    <a:stretch/>
                  </pic:blipFill>
                  <pic:spPr>
                    <a:xfrm>
                      <a:off x="0" y="0"/>
                      <a:ext cx="6080760" cy="2267585"/>
                    </a:xfrm>
                    <a:prstGeom prst="rect">
                      <a:avLst/>
                    </a:prstGeom>
                    <a:pattFill prst="pct5">
                      <a:fgClr>
                        <a:schemeClr val="accent1"/>
                      </a:fgClr>
                      <a:bgClr>
                        <a:schemeClr val="bg1"/>
                      </a:bgClr>
                    </a:pattFill>
                    <a:ln>
                      <a:noFill/>
                    </a:ln>
                  </pic:spPr>
                </pic:pic>
              </a:graphicData>
            </a:graphic>
          </wp:inline>
        </w:drawing>
      </w:r>
    </w:p>
    <w:p w14:paraId="1DFBE9FB" w14:textId="77777777" w:rsidR="00A47AD7" w:rsidRPr="003222A6" w:rsidRDefault="00A47AD7" w:rsidP="00A47AD7">
      <w:pPr>
        <w:pStyle w:val="0"/>
        <w:rPr>
          <w:sz w:val="13"/>
          <w:szCs w:val="13"/>
        </w:rPr>
      </w:pPr>
    </w:p>
    <w:p w14:paraId="044FD78C" w14:textId="77777777" w:rsidR="00A47AD7" w:rsidRDefault="00A47AD7" w:rsidP="00A47AD7">
      <w:pPr>
        <w:pStyle w:val="00"/>
      </w:pPr>
      <w:r w:rsidRPr="005A513C">
        <w:t>Be.U Med's multidisciplinary team comprises leading global experts from fields including internal medicine, surgery, gynecology, general medicine, sports rehabilitation, pain management, and cosmetic surgery. Each member of the international medical team, comprising seasoned medical experts, pharmacists, rehabilitation specialists, nurses, and nutritionists, follows multidisciplinary integrated care principles, centering on the highest standards of medical safety, and employs a personalized care philosophy dedicated to delivering globally advanced health and aesthetic services and medical care to clients.</w:t>
      </w:r>
    </w:p>
    <w:p w14:paraId="4D4930FD" w14:textId="227D4DCE" w:rsidR="00F42915" w:rsidRDefault="00A47AD7" w:rsidP="00F42915">
      <w:pPr>
        <w:pStyle w:val="0"/>
      </w:pPr>
      <w:r w:rsidRPr="005A513C">
        <w:t>Be.U</w:t>
      </w:r>
      <w:r w:rsidRPr="005A513C">
        <w:t>医疗集团的多学科团队由内科、外科、妇科、全科医学、运动康复科、疼痛管理科、美容整形科等领域的全球领先专家组成。国际医疗团队的每个成员，包括经验丰富的医疗专家、药剂师、康复师、护士和营养师，均按照多学科的综合护理原则，以最高级别的医疗安全为核心准则，采用定制化护理理念，致力于为客户提供全球领先的健康与美学方案和医疗护理。</w:t>
      </w:r>
    </w:p>
    <w:p w14:paraId="74466C66" w14:textId="485190B8" w:rsidR="00A47AD7" w:rsidRPr="00A47AD7" w:rsidRDefault="00A47AD7" w:rsidP="00913B81">
      <w:pPr>
        <w:pStyle w:val="0"/>
      </w:pPr>
      <w:r>
        <w:br w:type="page"/>
      </w:r>
    </w:p>
    <w:p w14:paraId="184C1C0E" w14:textId="77777777" w:rsidR="00E47FDD" w:rsidRDefault="00E47FDD" w:rsidP="00E47FDD">
      <w:pPr>
        <w:widowControl/>
        <w:spacing w:line="240" w:lineRule="auto"/>
        <w:jc w:val="left"/>
      </w:pPr>
    </w:p>
    <w:p w14:paraId="3ADD07EC" w14:textId="77777777" w:rsidR="00E47FDD" w:rsidRDefault="00E47FDD" w:rsidP="00E47FDD">
      <w:pPr>
        <w:widowControl/>
        <w:spacing w:line="240" w:lineRule="auto"/>
        <w:jc w:val="left"/>
      </w:pPr>
    </w:p>
    <w:p w14:paraId="4C85C379" w14:textId="77777777" w:rsidR="00E47FDD" w:rsidRDefault="00E47FDD" w:rsidP="00E47FDD">
      <w:pPr>
        <w:widowControl/>
        <w:spacing w:line="240" w:lineRule="auto"/>
        <w:jc w:val="left"/>
      </w:pPr>
    </w:p>
    <w:p w14:paraId="2DAD508B" w14:textId="3F455E0D" w:rsidR="0015637C" w:rsidRDefault="004E4EE1" w:rsidP="0015637C">
      <w:pPr>
        <w:pStyle w:val="3-"/>
      </w:pPr>
      <w:r>
        <w:rPr>
          <w:rFonts w:hint="eastAsia"/>
        </w:rPr>
        <w:t xml:space="preserve">Client </w:t>
      </w:r>
      <w:r w:rsidR="00136B3F" w:rsidRPr="00136B3F">
        <w:t xml:space="preserve">Health </w:t>
      </w:r>
      <w:r w:rsidR="00136B3F">
        <w:rPr>
          <w:rFonts w:hint="eastAsia"/>
        </w:rPr>
        <w:t>P</w:t>
      </w:r>
      <w:r w:rsidR="00136B3F" w:rsidRPr="00136B3F">
        <w:t>rogram</w:t>
      </w:r>
      <w:r>
        <w:rPr>
          <w:rFonts w:hint="eastAsia"/>
        </w:rPr>
        <w:br/>
      </w:r>
      <w:r w:rsidR="0015637C">
        <w:rPr>
          <w:rFonts w:hint="eastAsia"/>
        </w:rPr>
        <w:t>客户</w:t>
      </w:r>
      <w:r w:rsidR="00136B3F">
        <w:rPr>
          <w:rFonts w:hint="eastAsia"/>
        </w:rPr>
        <w:t>健康方案</w:t>
      </w:r>
    </w:p>
    <w:p w14:paraId="72FDEC93" w14:textId="77777777" w:rsidR="0015637C" w:rsidRDefault="0015637C">
      <w:pPr>
        <w:widowControl/>
        <w:spacing w:line="240" w:lineRule="auto"/>
        <w:jc w:val="left"/>
      </w:pPr>
    </w:p>
    <w:p w14:paraId="67D32420" w14:textId="77777777" w:rsidR="00913B81" w:rsidRDefault="00913B81">
      <w:pPr>
        <w:widowControl/>
        <w:spacing w:line="240" w:lineRule="auto"/>
        <w:jc w:val="left"/>
      </w:pPr>
    </w:p>
    <w:p w14:paraId="1E1CC95C" w14:textId="4075B8C7" w:rsidR="0015637C" w:rsidRPr="00913B81" w:rsidRDefault="00913B81" w:rsidP="00913B81">
      <w:pPr>
        <w:pStyle w:val="0"/>
        <w:rPr>
          <w:rFonts w:ascii="华文楷体" w:eastAsia="华文楷体" w:hAnsi="华文楷体"/>
          <w:b/>
          <w:bCs/>
        </w:rPr>
      </w:pPr>
      <w:r>
        <w:rPr>
          <w:rFonts w:ascii="华文楷体" w:eastAsia="华文楷体" w:hAnsi="华文楷体" w:hint="eastAsia"/>
          <w:b/>
          <w:bCs/>
        </w:rPr>
        <w:t xml:space="preserve"> </w:t>
      </w:r>
      <w:r w:rsidRPr="00913B81">
        <w:rPr>
          <w:rFonts w:ascii="华文楷体" w:eastAsia="华文楷体" w:hAnsi="华文楷体" w:hint="eastAsia"/>
          <w:b/>
          <w:bCs/>
        </w:rPr>
        <w:t>Name / 姓名 ：</w:t>
      </w:r>
      <w:r w:rsidR="008B4946" w:rsidRPr="008B4946">
        <w:rPr>
          <w:rFonts w:ascii="华文楷体" w:eastAsia="华文楷体" w:hAnsi="华文楷体"/>
          <w:b/>
          <w:bCs/>
        </w:rPr>
        <w:t>J</w:t>
      </w:r>
      <w:r w:rsidR="008B4946">
        <w:rPr>
          <w:rFonts w:ascii="华文楷体" w:eastAsia="华文楷体" w:hAnsi="华文楷体" w:hint="eastAsia"/>
          <w:b/>
          <w:bCs/>
        </w:rPr>
        <w:t>ane</w:t>
      </w:r>
      <w:r w:rsidR="008B4946" w:rsidRPr="008B4946">
        <w:rPr>
          <w:rFonts w:ascii="华文楷体" w:eastAsia="华文楷体" w:hAnsi="华文楷体"/>
          <w:b/>
          <w:bCs/>
        </w:rPr>
        <w:t xml:space="preserve"> Doe</w:t>
      </w:r>
    </w:p>
    <w:p w14:paraId="577CE106" w14:textId="24FEE390" w:rsidR="0015637C" w:rsidRDefault="00913B81" w:rsidP="00913B81">
      <w:pPr>
        <w:pStyle w:val="0"/>
        <w:rPr>
          <w:rFonts w:ascii="华文楷体" w:eastAsia="华文楷体" w:hAnsi="华文楷体"/>
          <w:b/>
          <w:bCs/>
        </w:rPr>
      </w:pPr>
      <w:r w:rsidRPr="00913B81">
        <w:rPr>
          <w:rFonts w:ascii="华文楷体" w:eastAsia="华文楷体" w:hAnsi="华文楷体" w:hint="eastAsia"/>
          <w:b/>
          <w:bCs/>
        </w:rPr>
        <w:t>Gender / 性别</w:t>
      </w:r>
      <w:r>
        <w:rPr>
          <w:rFonts w:ascii="华文楷体" w:eastAsia="华文楷体" w:hAnsi="华文楷体" w:hint="eastAsia"/>
          <w:b/>
          <w:bCs/>
        </w:rPr>
        <w:t xml:space="preserve"> </w:t>
      </w:r>
      <w:r w:rsidRPr="00913B81">
        <w:rPr>
          <w:rFonts w:ascii="华文楷体" w:eastAsia="华文楷体" w:hAnsi="华文楷体" w:hint="eastAsia"/>
          <w:b/>
          <w:bCs/>
        </w:rPr>
        <w:t>：</w:t>
      </w:r>
      <w:r w:rsidR="008B4946">
        <w:rPr>
          <w:rFonts w:ascii="华文楷体" w:eastAsia="华文楷体" w:hAnsi="华文楷体" w:hint="eastAsia"/>
          <w:b/>
          <w:bCs/>
        </w:rPr>
        <w:t>女性</w:t>
      </w:r>
    </w:p>
    <w:p w14:paraId="4502DAC0" w14:textId="4BEE0E9F" w:rsidR="00913B81" w:rsidRDefault="00913B81" w:rsidP="00913B81">
      <w:pPr>
        <w:pStyle w:val="0"/>
        <w:rPr>
          <w:rFonts w:ascii="华文楷体" w:eastAsia="华文楷体" w:hAnsi="华文楷体"/>
          <w:b/>
          <w:bCs/>
        </w:rPr>
      </w:pPr>
      <w:r>
        <w:rPr>
          <w:rFonts w:ascii="华文楷体" w:eastAsia="华文楷体" w:hAnsi="华文楷体" w:hint="eastAsia"/>
          <w:b/>
          <w:bCs/>
        </w:rPr>
        <w:t xml:space="preserve">   Age / 年龄 ：</w:t>
      </w:r>
      <w:r w:rsidR="008B4946">
        <w:rPr>
          <w:rFonts w:ascii="华文楷体" w:eastAsia="华文楷体" w:hAnsi="华文楷体" w:hint="eastAsia"/>
          <w:b/>
          <w:bCs/>
        </w:rPr>
        <w:t>35</w:t>
      </w:r>
    </w:p>
    <w:p w14:paraId="7D3BA8F8" w14:textId="37AA8D63" w:rsidR="00913B81" w:rsidRPr="00913B81" w:rsidRDefault="00913B81" w:rsidP="00913B81">
      <w:pPr>
        <w:pStyle w:val="0"/>
        <w:rPr>
          <w:rFonts w:ascii="华文楷体" w:eastAsia="华文楷体" w:hAnsi="华文楷体"/>
          <w:b/>
          <w:bCs/>
        </w:rPr>
      </w:pPr>
      <w:r>
        <w:rPr>
          <w:rFonts w:ascii="华文楷体" w:eastAsia="华文楷体" w:hAnsi="华文楷体" w:hint="eastAsia"/>
          <w:b/>
          <w:bCs/>
        </w:rPr>
        <w:t>Nation / 国籍 ：</w:t>
      </w:r>
      <w:r w:rsidR="008B4946">
        <w:rPr>
          <w:rFonts w:ascii="华文楷体" w:eastAsia="华文楷体" w:hAnsi="华文楷体" w:hint="eastAsia"/>
          <w:b/>
          <w:bCs/>
        </w:rPr>
        <w:t>中国</w:t>
      </w:r>
    </w:p>
    <w:p w14:paraId="7A20D57D" w14:textId="77777777" w:rsidR="0015637C" w:rsidRDefault="0015637C">
      <w:pPr>
        <w:widowControl/>
        <w:spacing w:line="240" w:lineRule="auto"/>
        <w:jc w:val="left"/>
      </w:pPr>
    </w:p>
    <w:p w14:paraId="37D46071" w14:textId="77777777" w:rsidR="0015637C" w:rsidRDefault="0015637C">
      <w:pPr>
        <w:widowControl/>
        <w:spacing w:line="240" w:lineRule="auto"/>
        <w:jc w:val="left"/>
      </w:pPr>
    </w:p>
    <w:p w14:paraId="43D0619A" w14:textId="0BE4030F" w:rsidR="00913B81" w:rsidRPr="00913B81" w:rsidRDefault="00913B81">
      <w:pPr>
        <w:widowControl/>
        <w:spacing w:line="240" w:lineRule="auto"/>
        <w:jc w:val="left"/>
        <w:rPr>
          <w:b/>
          <w:bCs/>
        </w:rPr>
      </w:pPr>
      <w:r w:rsidRPr="00913B81">
        <w:rPr>
          <w:rFonts w:hint="eastAsia"/>
          <w:b/>
          <w:bCs/>
        </w:rPr>
        <w:t>——————————————</w:t>
      </w:r>
    </w:p>
    <w:p w14:paraId="13C4385F" w14:textId="77777777" w:rsidR="00913B81" w:rsidRDefault="00913B81">
      <w:pPr>
        <w:widowControl/>
        <w:spacing w:line="240" w:lineRule="auto"/>
        <w:jc w:val="left"/>
      </w:pPr>
    </w:p>
    <w:p w14:paraId="00D8CE66" w14:textId="77777777" w:rsidR="00913B81" w:rsidRDefault="00913B81">
      <w:pPr>
        <w:widowControl/>
        <w:spacing w:line="240" w:lineRule="auto"/>
        <w:jc w:val="left"/>
      </w:pPr>
    </w:p>
    <w:p w14:paraId="63A4B687" w14:textId="1C1AAA83" w:rsidR="00913B81" w:rsidRDefault="00913B81" w:rsidP="00913B81">
      <w:pPr>
        <w:pStyle w:val="0"/>
        <w:ind w:leftChars="-20" w:left="-42" w:hangingChars="1" w:hanging="2"/>
        <w:rPr>
          <w:rFonts w:ascii="华文楷体" w:eastAsia="华文楷体" w:hAnsi="华文楷体"/>
          <w:b/>
          <w:bCs/>
        </w:rPr>
      </w:pPr>
      <w:r>
        <w:rPr>
          <w:rFonts w:ascii="华文楷体" w:eastAsia="华文楷体" w:hAnsi="华文楷体" w:hint="eastAsia"/>
          <w:b/>
          <w:bCs/>
        </w:rPr>
        <w:t xml:space="preserve">  Time / 体检时间 ：</w:t>
      </w:r>
      <w:r w:rsidR="008B4946">
        <w:rPr>
          <w:rFonts w:ascii="华文楷体" w:eastAsia="华文楷体" w:hAnsi="华文楷体" w:hint="eastAsia"/>
          <w:b/>
          <w:bCs/>
        </w:rPr>
        <w:t>2025-07-20</w:t>
      </w:r>
    </w:p>
    <w:p w14:paraId="203EEB2B" w14:textId="725E6313" w:rsidR="00913B81" w:rsidRDefault="00913B81" w:rsidP="00913B81">
      <w:pPr>
        <w:pStyle w:val="0"/>
        <w:rPr>
          <w:rFonts w:ascii="华文楷体" w:eastAsia="华文楷体" w:hAnsi="华文楷体"/>
          <w:b/>
          <w:bCs/>
        </w:rPr>
      </w:pPr>
      <w:r>
        <w:rPr>
          <w:rFonts w:ascii="华文楷体" w:eastAsia="华文楷体" w:hAnsi="华文楷体" w:hint="eastAsia"/>
          <w:b/>
          <w:bCs/>
        </w:rPr>
        <w:t>Project / 体检项目 ：</w:t>
      </w:r>
      <w:r w:rsidR="008B4946">
        <w:rPr>
          <w:rFonts w:ascii="华文楷体" w:eastAsia="华文楷体" w:hAnsi="华文楷体" w:hint="eastAsia"/>
          <w:b/>
          <w:bCs/>
        </w:rPr>
        <w:t>全套血液检测</w:t>
      </w:r>
    </w:p>
    <w:p w14:paraId="400F0786" w14:textId="2D60E51E" w:rsidR="00913B81" w:rsidRDefault="00913B81" w:rsidP="00913B81">
      <w:pPr>
        <w:pStyle w:val="0"/>
        <w:ind w:leftChars="-20" w:left="-42" w:hangingChars="1" w:hanging="2"/>
        <w:rPr>
          <w:rFonts w:ascii="华文楷体" w:eastAsia="华文楷体" w:hAnsi="华文楷体"/>
          <w:b/>
          <w:bCs/>
        </w:rPr>
      </w:pPr>
      <w:r>
        <w:rPr>
          <w:rFonts w:ascii="华文楷体" w:eastAsia="华文楷体" w:hAnsi="华文楷体" w:hint="eastAsia"/>
          <w:b/>
          <w:bCs/>
        </w:rPr>
        <w:t xml:space="preserve">  Time / 报告时间 ：</w:t>
      </w:r>
      <w:r w:rsidR="008B4946">
        <w:rPr>
          <w:rFonts w:ascii="华文楷体" w:eastAsia="华文楷体" w:hAnsi="华文楷体" w:hint="eastAsia"/>
          <w:b/>
          <w:bCs/>
        </w:rPr>
        <w:t>2025-08-10</w:t>
      </w:r>
    </w:p>
    <w:p w14:paraId="3F3DCE1C" w14:textId="77777777" w:rsidR="00913B81" w:rsidRDefault="00913B81">
      <w:pPr>
        <w:widowControl/>
        <w:spacing w:line="240" w:lineRule="auto"/>
        <w:jc w:val="left"/>
      </w:pPr>
    </w:p>
    <w:p w14:paraId="2D1F64E9" w14:textId="77777777" w:rsidR="00913B81" w:rsidRDefault="00913B81">
      <w:pPr>
        <w:widowControl/>
        <w:spacing w:line="240" w:lineRule="auto"/>
        <w:jc w:val="left"/>
      </w:pPr>
      <w:r>
        <w:br w:type="page"/>
      </w:r>
    </w:p>
    <w:p w14:paraId="48B273FF" w14:textId="2D27BB04" w:rsidR="00913B81" w:rsidRDefault="00913B81" w:rsidP="00913B81">
      <w:pPr>
        <w:pStyle w:val="3-"/>
      </w:pPr>
      <w:r w:rsidRPr="00913B81">
        <w:lastRenderedPageBreak/>
        <w:t xml:space="preserve">Health </w:t>
      </w:r>
      <w:r>
        <w:rPr>
          <w:rFonts w:hint="eastAsia"/>
        </w:rPr>
        <w:t>R</w:t>
      </w:r>
      <w:r w:rsidRPr="00913B81">
        <w:t xml:space="preserve">eport </w:t>
      </w:r>
      <w:r>
        <w:rPr>
          <w:rFonts w:hint="eastAsia"/>
        </w:rPr>
        <w:t>A</w:t>
      </w:r>
      <w:r w:rsidRPr="00913B81">
        <w:t>nalysis</w:t>
      </w:r>
      <w:r>
        <w:br/>
      </w:r>
      <w:r>
        <w:rPr>
          <w:rFonts w:hint="eastAsia"/>
        </w:rPr>
        <w:t>健康报告分析</w:t>
      </w:r>
    </w:p>
    <w:p w14:paraId="2E7A12BD" w14:textId="77777777" w:rsidR="00913B81" w:rsidRDefault="00913B81">
      <w:pPr>
        <w:widowControl/>
        <w:spacing w:line="240" w:lineRule="auto"/>
        <w:jc w:val="left"/>
      </w:pPr>
    </w:p>
    <w:p w14:paraId="29E1CE35" w14:textId="5639B188" w:rsidR="00E47FDD" w:rsidRPr="00B83A0F" w:rsidRDefault="00E47FDD" w:rsidP="00C0663D">
      <w:pPr>
        <w:pStyle w:val="4-"/>
      </w:pPr>
      <w:r w:rsidRPr="00B83A0F">
        <w:t xml:space="preserve">Abnormal </w:t>
      </w:r>
      <w:r w:rsidR="00B83A0F">
        <w:rPr>
          <w:rFonts w:hint="eastAsia"/>
        </w:rPr>
        <w:t>I</w:t>
      </w:r>
      <w:r w:rsidRPr="00B83A0F">
        <w:rPr>
          <w:rFonts w:hint="eastAsia"/>
        </w:rPr>
        <w:t>n</w:t>
      </w:r>
      <w:r w:rsidRPr="00B83A0F">
        <w:t>dex</w:t>
      </w:r>
      <w:r w:rsidRPr="00B83A0F">
        <w:rPr>
          <w:rFonts w:hint="eastAsia"/>
        </w:rPr>
        <w:t>异常指标</w:t>
      </w:r>
      <w:r w:rsidR="006628EE">
        <w:rPr>
          <w:rFonts w:hint="eastAsia"/>
        </w:rPr>
        <w:t>汇总</w:t>
      </w:r>
    </w:p>
    <w:p w14:paraId="29F91E27" w14:textId="77777777" w:rsidR="00E47FDD" w:rsidRDefault="00E47FDD" w:rsidP="00E47FDD">
      <w:pPr>
        <w:widowControl/>
        <w:spacing w:line="240" w:lineRule="auto"/>
        <w:jc w:val="left"/>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E47FDD" w14:paraId="75F80D23" w14:textId="77777777" w:rsidTr="005971A0">
        <w:trPr>
          <w:trHeight w:hRule="exact" w:val="113"/>
          <w:jc w:val="center"/>
        </w:trPr>
        <w:tc>
          <w:tcPr>
            <w:tcW w:w="1560" w:type="dxa"/>
            <w:gridSpan w:val="2"/>
            <w:tcBorders>
              <w:top w:val="single" w:sz="4" w:space="0" w:color="auto"/>
            </w:tcBorders>
            <w:vAlign w:val="center"/>
          </w:tcPr>
          <w:p w14:paraId="550689D8"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6E30ED7"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FBD331B"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85E8D52"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E6035A9"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4BF7A169" w14:textId="77777777" w:rsidR="00E47FDD" w:rsidRDefault="00E47FDD" w:rsidP="005971A0">
            <w:pPr>
              <w:spacing w:line="300" w:lineRule="exact"/>
              <w:jc w:val="right"/>
              <w:rPr>
                <w:color w:val="323E4F" w:themeColor="text2" w:themeShade="BF"/>
                <w:sz w:val="2"/>
                <w:szCs w:val="2"/>
              </w:rPr>
            </w:pPr>
          </w:p>
        </w:tc>
      </w:tr>
      <w:tr w:rsidR="00E47FDD" w14:paraId="105ED014" w14:textId="77777777" w:rsidTr="00E47FDD">
        <w:trPr>
          <w:trHeight w:val="432"/>
          <w:jc w:val="center"/>
        </w:trPr>
        <w:tc>
          <w:tcPr>
            <w:tcW w:w="1150" w:type="dxa"/>
          </w:tcPr>
          <w:p w14:paraId="481CE94E" w14:textId="1CB9B14F" w:rsidR="00E47FDD" w:rsidRDefault="00E47FDD" w:rsidP="00E47FDD">
            <w:pPr>
              <w:spacing w:afterLines="30" w:after="72" w:line="260" w:lineRule="exact"/>
              <w:jc w:val="center"/>
              <w:rPr>
                <w:b/>
                <w:bCs/>
                <w:color w:val="000000" w:themeColor="text1"/>
                <w:sz w:val="24"/>
              </w:rPr>
            </w:pPr>
            <w:r>
              <w:rPr>
                <w:rFonts w:hint="eastAsia"/>
                <w:b/>
                <w:bCs/>
                <w:color w:val="000000" w:themeColor="text1"/>
                <w:sz w:val="24"/>
              </w:rPr>
              <w:t>Abb</w:t>
            </w:r>
            <w:r>
              <w:rPr>
                <w:b/>
                <w:bCs/>
                <w:color w:val="000000" w:themeColor="text1"/>
                <w:sz w:val="24"/>
              </w:rPr>
              <w:br/>
            </w:r>
            <w:r>
              <w:rPr>
                <w:rFonts w:hint="eastAsia"/>
                <w:b/>
                <w:bCs/>
                <w:color w:val="000000" w:themeColor="text1"/>
                <w:sz w:val="24"/>
              </w:rPr>
              <w:t>简称</w:t>
            </w:r>
          </w:p>
        </w:tc>
        <w:tc>
          <w:tcPr>
            <w:tcW w:w="2536" w:type="dxa"/>
            <w:gridSpan w:val="2"/>
          </w:tcPr>
          <w:p w14:paraId="182F3D44" w14:textId="099E48EB" w:rsidR="00E47FDD" w:rsidRDefault="00E47FDD" w:rsidP="00E47FDD">
            <w:pPr>
              <w:spacing w:afterLines="30" w:after="72" w:line="260" w:lineRule="exact"/>
              <w:jc w:val="center"/>
              <w:rPr>
                <w:b/>
                <w:bCs/>
                <w:color w:val="000000" w:themeColor="text1"/>
                <w:sz w:val="24"/>
              </w:rPr>
            </w:pPr>
            <w:r>
              <w:rPr>
                <w:rFonts w:hint="eastAsia"/>
                <w:b/>
                <w:bCs/>
                <w:color w:val="000000" w:themeColor="text1"/>
                <w:sz w:val="24"/>
              </w:rPr>
              <w:t>Project</w:t>
            </w:r>
            <w:r>
              <w:rPr>
                <w:b/>
                <w:bCs/>
                <w:color w:val="000000" w:themeColor="text1"/>
                <w:sz w:val="24"/>
              </w:rPr>
              <w:br/>
            </w:r>
            <w:r>
              <w:rPr>
                <w:rFonts w:hint="eastAsia"/>
                <w:b/>
                <w:bCs/>
                <w:color w:val="000000" w:themeColor="text1"/>
                <w:sz w:val="24"/>
              </w:rPr>
              <w:t>项目</w:t>
            </w:r>
          </w:p>
        </w:tc>
        <w:tc>
          <w:tcPr>
            <w:tcW w:w="1754" w:type="dxa"/>
            <w:gridSpan w:val="2"/>
          </w:tcPr>
          <w:p w14:paraId="674E0AB4" w14:textId="397AB819" w:rsidR="00E47FDD" w:rsidRDefault="00E47FDD" w:rsidP="00E47FDD">
            <w:pPr>
              <w:spacing w:afterLines="30" w:after="72" w:line="260" w:lineRule="exact"/>
              <w:jc w:val="center"/>
              <w:rPr>
                <w:b/>
                <w:bCs/>
                <w:color w:val="000000" w:themeColor="text1"/>
                <w:sz w:val="24"/>
              </w:rPr>
            </w:pPr>
            <w:r w:rsidRPr="00E47FDD">
              <w:rPr>
                <w:b/>
                <w:bCs/>
                <w:color w:val="000000" w:themeColor="text1"/>
                <w:sz w:val="24"/>
              </w:rPr>
              <w:t>Result</w:t>
            </w:r>
            <w:r>
              <w:rPr>
                <w:b/>
                <w:bCs/>
                <w:color w:val="000000" w:themeColor="text1"/>
                <w:sz w:val="24"/>
              </w:rPr>
              <w:br/>
            </w:r>
            <w:r w:rsidRPr="00E47FDD">
              <w:rPr>
                <w:b/>
                <w:bCs/>
                <w:color w:val="000000" w:themeColor="text1"/>
                <w:sz w:val="24"/>
              </w:rPr>
              <w:t>结果</w:t>
            </w:r>
          </w:p>
        </w:tc>
        <w:tc>
          <w:tcPr>
            <w:tcW w:w="825" w:type="dxa"/>
            <w:gridSpan w:val="2"/>
          </w:tcPr>
          <w:p w14:paraId="37FD93A7" w14:textId="6A027F04" w:rsidR="00E47FDD" w:rsidRDefault="00E47FDD" w:rsidP="00E47FDD">
            <w:pPr>
              <w:spacing w:afterLines="30" w:after="72" w:line="260" w:lineRule="exact"/>
              <w:jc w:val="center"/>
              <w:rPr>
                <w:b/>
                <w:bCs/>
                <w:color w:val="000000" w:themeColor="text1"/>
                <w:sz w:val="24"/>
              </w:rPr>
            </w:pPr>
            <w:r w:rsidRPr="00E47FDD">
              <w:rPr>
                <w:b/>
                <w:bCs/>
                <w:color w:val="000000" w:themeColor="text1"/>
                <w:sz w:val="24"/>
              </w:rPr>
              <w:t>Point</w:t>
            </w:r>
            <w:r>
              <w:rPr>
                <w:b/>
                <w:bCs/>
                <w:color w:val="000000" w:themeColor="text1"/>
                <w:sz w:val="24"/>
              </w:rPr>
              <w:br/>
            </w:r>
            <w:r w:rsidRPr="00E47FDD">
              <w:rPr>
                <w:b/>
                <w:bCs/>
                <w:color w:val="000000" w:themeColor="text1"/>
                <w:sz w:val="24"/>
              </w:rPr>
              <w:t>提示</w:t>
            </w:r>
          </w:p>
        </w:tc>
        <w:tc>
          <w:tcPr>
            <w:tcW w:w="1980" w:type="dxa"/>
            <w:gridSpan w:val="2"/>
          </w:tcPr>
          <w:p w14:paraId="1616359A" w14:textId="4699C0D1" w:rsidR="00E47FDD" w:rsidRDefault="00E47FDD" w:rsidP="00E47FDD">
            <w:pPr>
              <w:spacing w:afterLines="30" w:after="72" w:line="260" w:lineRule="exact"/>
              <w:ind w:firstLineChars="100" w:firstLine="245"/>
              <w:jc w:val="center"/>
              <w:rPr>
                <w:b/>
                <w:bCs/>
                <w:color w:val="000000" w:themeColor="text1"/>
                <w:sz w:val="24"/>
              </w:rPr>
            </w:pPr>
            <w:r w:rsidRPr="00E47FDD">
              <w:rPr>
                <w:b/>
                <w:bCs/>
                <w:color w:val="000000" w:themeColor="text1"/>
                <w:sz w:val="24"/>
              </w:rPr>
              <w:t>Refer</w:t>
            </w:r>
            <w:r>
              <w:rPr>
                <w:b/>
                <w:bCs/>
                <w:color w:val="000000" w:themeColor="text1"/>
                <w:sz w:val="24"/>
              </w:rPr>
              <w:br/>
            </w:r>
            <w:r w:rsidRPr="00E47FDD">
              <w:rPr>
                <w:b/>
                <w:bCs/>
                <w:color w:val="000000" w:themeColor="text1"/>
                <w:sz w:val="24"/>
              </w:rPr>
              <w:t>参考范围</w:t>
            </w:r>
          </w:p>
        </w:tc>
        <w:tc>
          <w:tcPr>
            <w:tcW w:w="1408" w:type="dxa"/>
            <w:gridSpan w:val="2"/>
          </w:tcPr>
          <w:p w14:paraId="6D1316CE" w14:textId="3C207814" w:rsidR="00E47FDD" w:rsidRDefault="00E47FDD" w:rsidP="00E47FDD">
            <w:pPr>
              <w:spacing w:afterLines="30" w:after="72" w:line="260" w:lineRule="exact"/>
              <w:jc w:val="center"/>
              <w:rPr>
                <w:b/>
                <w:bCs/>
                <w:color w:val="000000" w:themeColor="text1"/>
                <w:sz w:val="24"/>
              </w:rPr>
            </w:pPr>
            <w:r w:rsidRPr="00E47FDD">
              <w:rPr>
                <w:b/>
                <w:bCs/>
                <w:color w:val="000000" w:themeColor="text1"/>
                <w:sz w:val="24"/>
              </w:rPr>
              <w:t>Unit</w:t>
            </w:r>
            <w:r>
              <w:rPr>
                <w:b/>
                <w:bCs/>
                <w:color w:val="000000" w:themeColor="text1"/>
                <w:sz w:val="24"/>
              </w:rPr>
              <w:br/>
            </w:r>
            <w:r w:rsidRPr="00E47FDD">
              <w:rPr>
                <w:b/>
                <w:bCs/>
                <w:color w:val="000000" w:themeColor="text1"/>
                <w:sz w:val="24"/>
              </w:rPr>
              <w:t>单位</w:t>
            </w:r>
          </w:p>
        </w:tc>
      </w:tr>
      <w:tr w:rsidR="00E47FDD" w14:paraId="28566A43" w14:textId="77777777" w:rsidTr="005971A0">
        <w:trPr>
          <w:trHeight w:hRule="exact" w:val="113"/>
          <w:jc w:val="center"/>
        </w:trPr>
        <w:tc>
          <w:tcPr>
            <w:tcW w:w="1560" w:type="dxa"/>
            <w:gridSpan w:val="2"/>
            <w:tcBorders>
              <w:top w:val="single" w:sz="4" w:space="0" w:color="auto"/>
            </w:tcBorders>
            <w:vAlign w:val="center"/>
          </w:tcPr>
          <w:p w14:paraId="15895E8D"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1FD0497"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2A5E5A0"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16723FC"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CDC53F0"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3B8CEC6A" w14:textId="77777777" w:rsidR="00E47FDD" w:rsidRDefault="00E47FDD" w:rsidP="005971A0">
            <w:pPr>
              <w:spacing w:line="300" w:lineRule="exact"/>
              <w:jc w:val="right"/>
              <w:rPr>
                <w:color w:val="323E4F" w:themeColor="text2" w:themeShade="BF"/>
                <w:sz w:val="2"/>
                <w:szCs w:val="2"/>
              </w:rPr>
            </w:pPr>
          </w:p>
        </w:tc>
      </w:tr>
      <w:tr w:rsidR="00E47FDD" w14:paraId="73C630B3" w14:textId="77777777" w:rsidTr="005971A0">
        <w:trPr>
          <w:trHeight w:hRule="exact" w:val="113"/>
          <w:jc w:val="center"/>
        </w:trPr>
        <w:tc>
          <w:tcPr>
            <w:tcW w:w="1560" w:type="dxa"/>
            <w:gridSpan w:val="2"/>
            <w:tcBorders>
              <w:top w:val="single" w:sz="4" w:space="0" w:color="auto"/>
            </w:tcBorders>
            <w:vAlign w:val="center"/>
          </w:tcPr>
          <w:p w14:paraId="6E943894"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74B7110"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43D50D9"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F536D19"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E8D30E0"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7998BE37" w14:textId="77777777" w:rsidR="00E47FDD" w:rsidRDefault="00E47FDD" w:rsidP="005971A0">
            <w:pPr>
              <w:spacing w:line="300" w:lineRule="exact"/>
              <w:jc w:val="right"/>
              <w:rPr>
                <w:color w:val="323E4F" w:themeColor="text2" w:themeShade="BF"/>
                <w:sz w:val="2"/>
                <w:szCs w:val="2"/>
              </w:rPr>
            </w:pPr>
          </w:p>
        </w:tc>
      </w:tr>
      <w:tr w:rsidR="008B4946" w:rsidRPr="008B4946" w14:paraId="1C941335" w14:textId="77777777" w:rsidTr="005971A0">
        <w:trPr>
          <w:trHeight w:val="432"/>
          <w:jc w:val="center"/>
        </w:trPr>
        <w:tc>
          <w:tcPr>
            <w:tcW w:w="1150" w:type="dxa"/>
            <w:vAlign w:val="center"/>
          </w:tcPr>
          <w:p w14:paraId="15473273" w14:textId="31324E8E" w:rsidR="00E47FDD" w:rsidRPr="008B4946" w:rsidRDefault="008B4946" w:rsidP="005971A0">
            <w:pPr>
              <w:spacing w:line="400" w:lineRule="exact"/>
              <w:jc w:val="center"/>
              <w:rPr>
                <w:b/>
                <w:bCs/>
                <w:color w:val="C00000"/>
                <w:sz w:val="24"/>
              </w:rPr>
            </w:pPr>
            <w:r w:rsidRPr="008B4946">
              <w:rPr>
                <w:rFonts w:hint="eastAsia"/>
                <w:b/>
                <w:bCs/>
                <w:color w:val="C00000"/>
                <w:sz w:val="24"/>
              </w:rPr>
              <w:t>MCH</w:t>
            </w:r>
          </w:p>
        </w:tc>
        <w:tc>
          <w:tcPr>
            <w:tcW w:w="2536" w:type="dxa"/>
            <w:gridSpan w:val="2"/>
            <w:vAlign w:val="center"/>
          </w:tcPr>
          <w:p w14:paraId="67671D26" w14:textId="66EAE972" w:rsidR="00E47FDD" w:rsidRPr="008B4946" w:rsidRDefault="008B4946" w:rsidP="005971A0">
            <w:pPr>
              <w:spacing w:line="400" w:lineRule="exact"/>
              <w:jc w:val="center"/>
              <w:rPr>
                <w:b/>
                <w:bCs/>
                <w:color w:val="C00000"/>
                <w:sz w:val="24"/>
              </w:rPr>
            </w:pPr>
            <w:r w:rsidRPr="008B4946">
              <w:rPr>
                <w:b/>
                <w:bCs/>
                <w:color w:val="C00000"/>
                <w:sz w:val="24"/>
              </w:rPr>
              <w:t>平均红细胞血红蛋白含量</w:t>
            </w:r>
          </w:p>
        </w:tc>
        <w:tc>
          <w:tcPr>
            <w:tcW w:w="1754" w:type="dxa"/>
            <w:gridSpan w:val="2"/>
            <w:vAlign w:val="center"/>
          </w:tcPr>
          <w:p>
            <w:r>
              <w:t>{{MCH_result}}</w:t>
            </w:r>
          </w:p>
        </w:tc>
        <w:tc>
          <w:tcPr>
            <w:tcW w:w="825" w:type="dxa"/>
            <w:gridSpan w:val="2"/>
            <w:vAlign w:val="center"/>
          </w:tcPr>
          <w:p>
            <w:r>
              <w:t>{{MCH_point}}</w:t>
            </w:r>
          </w:p>
        </w:tc>
        <w:tc>
          <w:tcPr>
            <w:tcW w:w="1980" w:type="dxa"/>
            <w:gridSpan w:val="2"/>
            <w:vAlign w:val="center"/>
          </w:tcPr>
          <w:p>
            <w:r>
              <w:t>{{MCH_refer}}</w:t>
            </w:r>
          </w:p>
        </w:tc>
        <w:tc>
          <w:tcPr>
            <w:tcW w:w="1408" w:type="dxa"/>
            <w:gridSpan w:val="2"/>
            <w:vAlign w:val="center"/>
          </w:tcPr>
          <w:p>
            <w:r>
              <w:t>{{MCH_unit}}</w:t>
            </w:r>
          </w:p>
        </w:tc>
      </w:tr>
      <w:tr w:rsidR="00E47FDD" w14:paraId="105ED014" w14:textId="77777777" w:rsidTr="00E47FDD">
        <w:trPr>
          <w:trHeight w:val="432"/>
          <w:jc w:val="center"/>
        </w:trPr>
        <w:tc>
          <w:tcPr>
            <w:tcW w:w="1150" w:type="dxa"/>
          </w:tcPr>
          <w:p>
            <w:r>
              <w:t>MIB</w:t>
            </w:r>
          </w:p>
        </w:tc>
        <w:tc>
          <w:tcPr>
            <w:tcW w:w="2536" w:type="dxa"/>
            <w:gridSpan w:val="2"/>
          </w:tcPr>
          <w:p>
            <w:r>
              <w:t>Mercury 汞</w:t>
            </w:r>
          </w:p>
        </w:tc>
        <w:tc>
          <w:tcPr>
            <w:tcW w:w="1754" w:type="dxa"/>
            <w:gridSpan w:val="2"/>
          </w:tcPr>
          <w:p>
            <w:r>
              <w:t>11.07</w:t>
            </w:r>
          </w:p>
        </w:tc>
        <w:tc>
          <w:tcPr>
            <w:tcW w:w="825" w:type="dxa"/>
            <w:gridSpan w:val="2"/>
          </w:tcPr>
          <w:p>
            <w:r/>
          </w:p>
        </w:tc>
        <w:tc>
          <w:tcPr>
            <w:tcW w:w="1980" w:type="dxa"/>
            <w:gridSpan w:val="2"/>
          </w:tcPr>
          <w:p>
            <w:r>
              <w:t>&lt;5.8</w:t>
            </w:r>
          </w:p>
        </w:tc>
        <w:tc>
          <w:tcPr>
            <w:tcW w:w="1408" w:type="dxa"/>
            <w:gridSpan w:val="2"/>
          </w:tcPr>
          <w:p>
            <w:r>
              <w:t>μg/L</w:t>
            </w:r>
          </w:p>
        </w:tc>
      </w:tr>
      <w:tr w:rsidR="00E47FDD" w14:paraId="105ED014" w14:textId="77777777" w:rsidTr="00E47FDD">
        <w:trPr>
          <w:trHeight w:val="432"/>
          <w:jc w:val="center"/>
        </w:trPr>
        <w:tc>
          <w:tcPr>
            <w:tcW w:w="1150" w:type="dxa"/>
          </w:tcPr>
          <w:p>
            <w:r>
              <w:t>CIB</w:t>
            </w:r>
          </w:p>
        </w:tc>
        <w:tc>
          <w:tcPr>
            <w:tcW w:w="2536" w:type="dxa"/>
            <w:gridSpan w:val="2"/>
          </w:tcPr>
          <w:p>
            <w:r>
              <w:t>Cobalt 钴</w:t>
            </w:r>
          </w:p>
        </w:tc>
        <w:tc>
          <w:tcPr>
            <w:tcW w:w="1754" w:type="dxa"/>
            <w:gridSpan w:val="2"/>
          </w:tcPr>
          <w:p>
            <w:r>
              <w:t>0.20</w:t>
            </w:r>
          </w:p>
        </w:tc>
        <w:tc>
          <w:tcPr>
            <w:tcW w:w="825" w:type="dxa"/>
            <w:gridSpan w:val="2"/>
          </w:tcPr>
          <w:p>
            <w:r/>
          </w:p>
        </w:tc>
        <w:tc>
          <w:tcPr>
            <w:tcW w:w="1980" w:type="dxa"/>
            <w:gridSpan w:val="2"/>
          </w:tcPr>
          <w:p>
            <w:r>
              <w:t>&lt;1.0</w:t>
            </w:r>
          </w:p>
        </w:tc>
        <w:tc>
          <w:tcPr>
            <w:tcW w:w="1408" w:type="dxa"/>
            <w:gridSpan w:val="2"/>
          </w:tcPr>
          <w:p>
            <w:r>
              <w:t>μg/L</w:t>
            </w:r>
          </w:p>
        </w:tc>
      </w:tr>
      <w:tr w:rsidR="00E47FDD" w14:paraId="105ED014" w14:textId="77777777" w:rsidTr="00E47FDD">
        <w:trPr>
          <w:trHeight w:val="432"/>
          <w:jc w:val="center"/>
        </w:trPr>
        <w:tc>
          <w:tcPr>
            <w:tcW w:w="1150" w:type="dxa"/>
          </w:tcPr>
          <w:p>
            <w:r>
              <w:t>Mn</w:t>
            </w:r>
          </w:p>
        </w:tc>
        <w:tc>
          <w:tcPr>
            <w:tcW w:w="2536" w:type="dxa"/>
            <w:gridSpan w:val="2"/>
          </w:tcPr>
          <w:p>
            <w:r>
              <w:t>Manganese 锰</w:t>
            </w:r>
          </w:p>
        </w:tc>
        <w:tc>
          <w:tcPr>
            <w:tcW w:w="1754" w:type="dxa"/>
            <w:gridSpan w:val="2"/>
          </w:tcPr>
          <w:p>
            <w:r>
              <w:t>8.53</w:t>
            </w:r>
          </w:p>
        </w:tc>
        <w:tc>
          <w:tcPr>
            <w:tcW w:w="825" w:type="dxa"/>
            <w:gridSpan w:val="2"/>
          </w:tcPr>
          <w:p>
            <w:r/>
          </w:p>
        </w:tc>
        <w:tc>
          <w:tcPr>
            <w:tcW w:w="1980" w:type="dxa"/>
            <w:gridSpan w:val="2"/>
          </w:tcPr>
          <w:p>
            <w:r>
              <w:t>4.7-18.3</w:t>
            </w:r>
          </w:p>
        </w:tc>
        <w:tc>
          <w:tcPr>
            <w:tcW w:w="1408" w:type="dxa"/>
            <w:gridSpan w:val="2"/>
          </w:tcPr>
          <w:p>
            <w:r>
              <w:t>μg/L</w:t>
            </w:r>
          </w:p>
        </w:tc>
      </w:tr>
      <w:tr w:rsidR="00E47FDD" w14:paraId="105ED014" w14:textId="77777777" w:rsidTr="00E47FDD">
        <w:trPr>
          <w:trHeight w:val="432"/>
          <w:jc w:val="center"/>
        </w:trPr>
        <w:tc>
          <w:tcPr>
            <w:tcW w:w="1150" w:type="dxa"/>
          </w:tcPr>
          <w:p>
            <w:r>
              <w:t>Cr</w:t>
            </w:r>
          </w:p>
        </w:tc>
        <w:tc>
          <w:tcPr>
            <w:tcW w:w="2536" w:type="dxa"/>
            <w:gridSpan w:val="2"/>
          </w:tcPr>
          <w:p>
            <w:r>
              <w:t>Chromium 铬</w:t>
            </w:r>
          </w:p>
        </w:tc>
        <w:tc>
          <w:tcPr>
            <w:tcW w:w="1754" w:type="dxa"/>
            <w:gridSpan w:val="2"/>
          </w:tcPr>
          <w:p>
            <w:r>
              <w:t>1.75</w:t>
            </w:r>
          </w:p>
        </w:tc>
        <w:tc>
          <w:tcPr>
            <w:tcW w:w="825" w:type="dxa"/>
            <w:gridSpan w:val="2"/>
          </w:tcPr>
          <w:p>
            <w:r/>
          </w:p>
        </w:tc>
        <w:tc>
          <w:tcPr>
            <w:tcW w:w="1980" w:type="dxa"/>
            <w:gridSpan w:val="2"/>
          </w:tcPr>
          <w:p>
            <w:r>
              <w:t>&lt;5.0</w:t>
            </w:r>
          </w:p>
        </w:tc>
        <w:tc>
          <w:tcPr>
            <w:tcW w:w="1408" w:type="dxa"/>
            <w:gridSpan w:val="2"/>
          </w:tcPr>
          <w:p>
            <w:r>
              <w:t>μg/L</w:t>
            </w:r>
          </w:p>
        </w:tc>
      </w:tr>
      <w:tr w:rsidR="00E47FDD" w14:paraId="105ED014" w14:textId="77777777" w:rsidTr="00E47FDD">
        <w:trPr>
          <w:trHeight w:val="432"/>
          <w:jc w:val="center"/>
        </w:trPr>
        <w:tc>
          <w:tcPr>
            <w:tcW w:w="1150" w:type="dxa"/>
          </w:tcPr>
          <w:p>
            <w:r>
              <w:t>Ni</w:t>
            </w:r>
          </w:p>
        </w:tc>
        <w:tc>
          <w:tcPr>
            <w:tcW w:w="2536" w:type="dxa"/>
            <w:gridSpan w:val="2"/>
          </w:tcPr>
          <w:p>
            <w:r>
              <w:t>Nickel 镍</w:t>
            </w:r>
          </w:p>
        </w:tc>
        <w:tc>
          <w:tcPr>
            <w:tcW w:w="1754" w:type="dxa"/>
            <w:gridSpan w:val="2"/>
          </w:tcPr>
          <w:p>
            <w:r>
              <w:t>0.67</w:t>
            </w:r>
          </w:p>
        </w:tc>
        <w:tc>
          <w:tcPr>
            <w:tcW w:w="825" w:type="dxa"/>
            <w:gridSpan w:val="2"/>
          </w:tcPr>
          <w:p>
            <w:r/>
          </w:p>
        </w:tc>
        <w:tc>
          <w:tcPr>
            <w:tcW w:w="1980" w:type="dxa"/>
            <w:gridSpan w:val="2"/>
          </w:tcPr>
          <w:p>
            <w:r>
              <w:t>&lt;2.0</w:t>
            </w:r>
          </w:p>
        </w:tc>
        <w:tc>
          <w:tcPr>
            <w:tcW w:w="1408" w:type="dxa"/>
            <w:gridSpan w:val="2"/>
          </w:tcPr>
          <w:p>
            <w:r>
              <w:t>μg/L</w:t>
            </w:r>
          </w:p>
        </w:tc>
      </w:tr>
    </w:tbl>
    <w:p w14:paraId="52527A74" w14:textId="77777777" w:rsidR="00E47FDD" w:rsidRDefault="00E47FDD">
      <w:pPr>
        <w:widowControl/>
        <w:spacing w:line="240" w:lineRule="auto"/>
        <w:jc w:val="left"/>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E47FDD" w14:paraId="28B71810" w14:textId="77777777" w:rsidTr="005971A0">
        <w:trPr>
          <w:trHeight w:hRule="exact" w:val="113"/>
          <w:jc w:val="center"/>
        </w:trPr>
        <w:tc>
          <w:tcPr>
            <w:tcW w:w="1560" w:type="dxa"/>
            <w:gridSpan w:val="2"/>
            <w:tcBorders>
              <w:top w:val="single" w:sz="4" w:space="0" w:color="auto"/>
            </w:tcBorders>
            <w:vAlign w:val="center"/>
          </w:tcPr>
          <w:p w14:paraId="06EF0B1B"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B89B37F"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CB7DAD1"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45248F0"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3C4DDD3"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127EE22A" w14:textId="77777777" w:rsidR="00E47FDD" w:rsidRDefault="00E47FDD" w:rsidP="005971A0">
            <w:pPr>
              <w:spacing w:line="300" w:lineRule="exact"/>
              <w:jc w:val="right"/>
              <w:rPr>
                <w:color w:val="323E4F" w:themeColor="text2" w:themeShade="BF"/>
                <w:sz w:val="2"/>
                <w:szCs w:val="2"/>
              </w:rPr>
            </w:pPr>
          </w:p>
        </w:tc>
      </w:tr>
      <w:tr w:rsidR="008B4946" w:rsidRPr="008B4946" w14:paraId="080A2486" w14:textId="77777777" w:rsidTr="005971A0">
        <w:trPr>
          <w:trHeight w:val="432"/>
          <w:jc w:val="center"/>
        </w:trPr>
        <w:tc>
          <w:tcPr>
            <w:tcW w:w="1150" w:type="dxa"/>
            <w:vAlign w:val="center"/>
          </w:tcPr>
          <w:p w14:paraId="1322D723" w14:textId="2BC2ADE5" w:rsidR="00E47FDD" w:rsidRPr="008B4946" w:rsidRDefault="008B4946" w:rsidP="005971A0">
            <w:pPr>
              <w:spacing w:line="400" w:lineRule="exact"/>
              <w:jc w:val="center"/>
              <w:rPr>
                <w:b/>
                <w:bCs/>
                <w:color w:val="70AD47" w:themeColor="accent6"/>
                <w:sz w:val="24"/>
              </w:rPr>
            </w:pPr>
            <w:r w:rsidRPr="008B4946">
              <w:rPr>
                <w:rFonts w:hint="eastAsia"/>
                <w:b/>
                <w:bCs/>
                <w:color w:val="70AD47" w:themeColor="accent6"/>
                <w:sz w:val="24"/>
              </w:rPr>
              <w:t>RDW</w:t>
            </w:r>
          </w:p>
        </w:tc>
        <w:tc>
          <w:tcPr>
            <w:tcW w:w="2536" w:type="dxa"/>
            <w:gridSpan w:val="2"/>
            <w:vAlign w:val="center"/>
          </w:tcPr>
          <w:p w14:paraId="3AA40B78" w14:textId="1C058254" w:rsidR="00E47FDD" w:rsidRPr="008B4946" w:rsidRDefault="008B4946" w:rsidP="005971A0">
            <w:pPr>
              <w:spacing w:line="400" w:lineRule="exact"/>
              <w:jc w:val="center"/>
              <w:rPr>
                <w:b/>
                <w:bCs/>
                <w:color w:val="70AD47" w:themeColor="accent6"/>
                <w:sz w:val="24"/>
              </w:rPr>
            </w:pPr>
            <w:r w:rsidRPr="008B4946">
              <w:rPr>
                <w:b/>
                <w:bCs/>
                <w:color w:val="70AD47" w:themeColor="accent6"/>
                <w:sz w:val="24"/>
              </w:rPr>
              <w:t>红细胞体积分布宽度</w:t>
            </w:r>
          </w:p>
        </w:tc>
        <w:tc>
          <w:tcPr>
            <w:tcW w:w="1754" w:type="dxa"/>
            <w:gridSpan w:val="2"/>
            <w:vAlign w:val="center"/>
          </w:tcPr>
          <w:p>
            <w:r>
              <w:t>{{RDW_result}}</w:t>
            </w:r>
          </w:p>
        </w:tc>
        <w:tc>
          <w:tcPr>
            <w:tcW w:w="825" w:type="dxa"/>
            <w:gridSpan w:val="2"/>
            <w:vAlign w:val="center"/>
          </w:tcPr>
          <w:p>
            <w:r>
              <w:t>{{RDW_point}}</w:t>
            </w:r>
          </w:p>
        </w:tc>
        <w:tc>
          <w:tcPr>
            <w:tcW w:w="1980" w:type="dxa"/>
            <w:gridSpan w:val="2"/>
            <w:vAlign w:val="center"/>
          </w:tcPr>
          <w:p>
            <w:r>
              <w:t>{{RDW_refer}}</w:t>
            </w:r>
          </w:p>
        </w:tc>
        <w:tc>
          <w:tcPr>
            <w:tcW w:w="1408" w:type="dxa"/>
            <w:gridSpan w:val="2"/>
            <w:vAlign w:val="center"/>
          </w:tcPr>
          <w:p>
            <w:r>
              <w:t>{{RDW_unit}}</w:t>
            </w:r>
          </w:p>
        </w:tc>
      </w:tr>
    </w:tbl>
    <w:p w14:paraId="3A270B73" w14:textId="035D47B3" w:rsidR="00E47FDD" w:rsidRDefault="00E47FDD">
      <w:pPr>
        <w:widowControl/>
        <w:spacing w:line="240" w:lineRule="auto"/>
        <w:jc w:val="left"/>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E47FDD" w14:paraId="2E0F0E78" w14:textId="77777777" w:rsidTr="005971A0">
        <w:trPr>
          <w:trHeight w:hRule="exact" w:val="113"/>
          <w:jc w:val="center"/>
        </w:trPr>
        <w:tc>
          <w:tcPr>
            <w:tcW w:w="1560" w:type="dxa"/>
            <w:gridSpan w:val="2"/>
            <w:tcBorders>
              <w:top w:val="single" w:sz="4" w:space="0" w:color="auto"/>
            </w:tcBorders>
            <w:vAlign w:val="center"/>
          </w:tcPr>
          <w:p w14:paraId="02E34D05"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50E652C"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44C3734"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AEEBE27"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401A62D"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6E50D52D" w14:textId="77777777" w:rsidR="00E47FDD" w:rsidRDefault="00E47FDD" w:rsidP="005971A0">
            <w:pPr>
              <w:spacing w:line="300" w:lineRule="exact"/>
              <w:jc w:val="right"/>
              <w:rPr>
                <w:color w:val="323E4F" w:themeColor="text2" w:themeShade="BF"/>
                <w:sz w:val="2"/>
                <w:szCs w:val="2"/>
              </w:rPr>
            </w:pPr>
          </w:p>
        </w:tc>
      </w:tr>
      <w:tr w:rsidR="008B4946" w:rsidRPr="008B4946" w14:paraId="488904A9" w14:textId="77777777" w:rsidTr="005971A0">
        <w:trPr>
          <w:trHeight w:val="432"/>
          <w:jc w:val="center"/>
        </w:trPr>
        <w:tc>
          <w:tcPr>
            <w:tcW w:w="1150" w:type="dxa"/>
            <w:vAlign w:val="center"/>
          </w:tcPr>
          <w:p w14:paraId="12AAD375" w14:textId="1F7F266E" w:rsidR="00E47FDD" w:rsidRPr="008B4946" w:rsidRDefault="008B4946" w:rsidP="005971A0">
            <w:pPr>
              <w:spacing w:line="400" w:lineRule="exact"/>
              <w:jc w:val="center"/>
              <w:rPr>
                <w:b/>
                <w:bCs/>
                <w:color w:val="C00000"/>
                <w:sz w:val="24"/>
              </w:rPr>
            </w:pPr>
            <w:r w:rsidRPr="008B4946">
              <w:rPr>
                <w:rFonts w:hint="eastAsia"/>
                <w:b/>
                <w:bCs/>
                <w:color w:val="C00000"/>
                <w:sz w:val="24"/>
              </w:rPr>
              <w:t>ESR</w:t>
            </w:r>
          </w:p>
        </w:tc>
        <w:tc>
          <w:tcPr>
            <w:tcW w:w="2536" w:type="dxa"/>
            <w:gridSpan w:val="2"/>
            <w:vAlign w:val="center"/>
          </w:tcPr>
          <w:p w14:paraId="3E7EFC61" w14:textId="06174980" w:rsidR="00E47FDD" w:rsidRPr="008B4946" w:rsidRDefault="008B4946" w:rsidP="005971A0">
            <w:pPr>
              <w:spacing w:line="400" w:lineRule="exact"/>
              <w:jc w:val="center"/>
              <w:rPr>
                <w:b/>
                <w:bCs/>
                <w:color w:val="C00000"/>
                <w:sz w:val="24"/>
              </w:rPr>
            </w:pPr>
            <w:r w:rsidRPr="008B4946">
              <w:rPr>
                <w:rFonts w:hint="eastAsia"/>
                <w:b/>
                <w:bCs/>
                <w:color w:val="C00000"/>
                <w:sz w:val="24"/>
              </w:rPr>
              <w:t>红细胞沉降率</w:t>
            </w:r>
          </w:p>
        </w:tc>
        <w:tc>
          <w:tcPr>
            <w:tcW w:w="1754" w:type="dxa"/>
            <w:gridSpan w:val="2"/>
            <w:vAlign w:val="center"/>
          </w:tcPr>
          <w:p>
            <w:r>
              <w:t>{{ESR_result}}</w:t>
            </w:r>
          </w:p>
        </w:tc>
        <w:tc>
          <w:tcPr>
            <w:tcW w:w="825" w:type="dxa"/>
            <w:gridSpan w:val="2"/>
            <w:vAlign w:val="center"/>
          </w:tcPr>
          <w:p>
            <w:r>
              <w:t>{{ESR_point}}</w:t>
            </w:r>
          </w:p>
        </w:tc>
        <w:tc>
          <w:tcPr>
            <w:tcW w:w="1980" w:type="dxa"/>
            <w:gridSpan w:val="2"/>
            <w:vAlign w:val="center"/>
          </w:tcPr>
          <w:p>
            <w:r>
              <w:t>{{ESR_refer}}</w:t>
            </w:r>
          </w:p>
        </w:tc>
        <w:tc>
          <w:tcPr>
            <w:tcW w:w="1408" w:type="dxa"/>
            <w:gridSpan w:val="2"/>
            <w:vAlign w:val="center"/>
          </w:tcPr>
          <w:p>
            <w:r>
              <w:t>{{ESR_unit}}</w:t>
            </w:r>
          </w:p>
        </w:tc>
      </w:tr>
    </w:tbl>
    <w:p w14:paraId="4278A34D" w14:textId="662BD11A" w:rsidR="00E47FDD" w:rsidRDefault="00E47FDD" w:rsidP="00E47FDD">
      <w:pPr>
        <w:widowControl/>
        <w:spacing w:line="240" w:lineRule="auto"/>
        <w:jc w:val="left"/>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E47FDD" w14:paraId="6505F711" w14:textId="77777777" w:rsidTr="005971A0">
        <w:trPr>
          <w:trHeight w:hRule="exact" w:val="113"/>
          <w:jc w:val="center"/>
        </w:trPr>
        <w:tc>
          <w:tcPr>
            <w:tcW w:w="1560" w:type="dxa"/>
            <w:gridSpan w:val="2"/>
            <w:tcBorders>
              <w:top w:val="single" w:sz="4" w:space="0" w:color="auto"/>
            </w:tcBorders>
            <w:vAlign w:val="center"/>
          </w:tcPr>
          <w:p w14:paraId="291D9AF7"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FCEAEF9"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71B7DF7"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4BC6225"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A0DF11E"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33E7F746" w14:textId="77777777" w:rsidR="00E47FDD" w:rsidRDefault="00E47FDD" w:rsidP="005971A0">
            <w:pPr>
              <w:spacing w:line="300" w:lineRule="exact"/>
              <w:jc w:val="right"/>
              <w:rPr>
                <w:color w:val="323E4F" w:themeColor="text2" w:themeShade="BF"/>
                <w:sz w:val="2"/>
                <w:szCs w:val="2"/>
              </w:rPr>
            </w:pPr>
          </w:p>
        </w:tc>
      </w:tr>
      <w:tr w:rsidR="008B4946" w:rsidRPr="008B4946" w14:paraId="4358C4FB" w14:textId="77777777" w:rsidTr="005971A0">
        <w:trPr>
          <w:trHeight w:val="432"/>
          <w:jc w:val="center"/>
        </w:trPr>
        <w:tc>
          <w:tcPr>
            <w:tcW w:w="1150" w:type="dxa"/>
            <w:vAlign w:val="center"/>
          </w:tcPr>
          <w:p w14:paraId="30E441AF" w14:textId="6CBED0CA" w:rsidR="00E47FDD" w:rsidRPr="008B4946" w:rsidRDefault="008B4946" w:rsidP="005971A0">
            <w:pPr>
              <w:spacing w:line="400" w:lineRule="exact"/>
              <w:jc w:val="center"/>
              <w:rPr>
                <w:b/>
                <w:bCs/>
                <w:color w:val="70AD47" w:themeColor="accent6"/>
                <w:sz w:val="24"/>
              </w:rPr>
            </w:pPr>
            <w:r w:rsidRPr="008B4946">
              <w:rPr>
                <w:rFonts w:hint="eastAsia"/>
                <w:b/>
                <w:bCs/>
                <w:color w:val="70AD47" w:themeColor="accent6"/>
                <w:sz w:val="24"/>
              </w:rPr>
              <w:t>PRO</w:t>
            </w:r>
          </w:p>
        </w:tc>
        <w:tc>
          <w:tcPr>
            <w:tcW w:w="2536" w:type="dxa"/>
            <w:gridSpan w:val="2"/>
            <w:vAlign w:val="center"/>
          </w:tcPr>
          <w:p w14:paraId="3FB8AFBD" w14:textId="3E138BB8" w:rsidR="00E47FDD" w:rsidRPr="008B4946" w:rsidRDefault="008B4946" w:rsidP="005971A0">
            <w:pPr>
              <w:spacing w:line="400" w:lineRule="exact"/>
              <w:jc w:val="center"/>
              <w:rPr>
                <w:b/>
                <w:bCs/>
                <w:color w:val="70AD47" w:themeColor="accent6"/>
                <w:sz w:val="24"/>
              </w:rPr>
            </w:pPr>
            <w:r w:rsidRPr="008B4946">
              <w:rPr>
                <w:rFonts w:hint="eastAsia"/>
                <w:b/>
                <w:bCs/>
                <w:color w:val="70AD47" w:themeColor="accent6"/>
                <w:sz w:val="24"/>
              </w:rPr>
              <w:t>黄体酮</w:t>
            </w:r>
          </w:p>
        </w:tc>
        <w:tc>
          <w:tcPr>
            <w:tcW w:w="1754" w:type="dxa"/>
            <w:gridSpan w:val="2"/>
            <w:vAlign w:val="center"/>
          </w:tcPr>
          <w:p>
            <w:r>
              <w:t>{{PRO_result}}</w:t>
            </w:r>
          </w:p>
        </w:tc>
        <w:tc>
          <w:tcPr>
            <w:tcW w:w="825" w:type="dxa"/>
            <w:gridSpan w:val="2"/>
            <w:vAlign w:val="center"/>
          </w:tcPr>
          <w:p>
            <w:r>
              <w:t>{{PRO_point}}</w:t>
            </w:r>
          </w:p>
        </w:tc>
        <w:tc>
          <w:tcPr>
            <w:tcW w:w="1980" w:type="dxa"/>
            <w:gridSpan w:val="2"/>
            <w:vAlign w:val="center"/>
          </w:tcPr>
          <w:p>
            <w:r>
              <w:t>{{PRO_refer}}</w:t>
            </w:r>
          </w:p>
        </w:tc>
        <w:tc>
          <w:tcPr>
            <w:tcW w:w="1408" w:type="dxa"/>
            <w:gridSpan w:val="2"/>
            <w:vAlign w:val="center"/>
          </w:tcPr>
          <w:p>
            <w:r>
              <w:t>{{PRO_unit}}</w:t>
            </w:r>
          </w:p>
        </w:tc>
      </w:tr>
    </w:tbl>
    <w:p w14:paraId="3F89A148" w14:textId="77777777" w:rsidR="00E47FDD" w:rsidRDefault="00E47FDD" w:rsidP="00E47FDD">
      <w:pPr>
        <w:widowControl/>
        <w:spacing w:line="240" w:lineRule="auto"/>
        <w:jc w:val="left"/>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E47FDD" w14:paraId="670C3EE4" w14:textId="77777777" w:rsidTr="005971A0">
        <w:trPr>
          <w:trHeight w:hRule="exact" w:val="113"/>
          <w:jc w:val="center"/>
        </w:trPr>
        <w:tc>
          <w:tcPr>
            <w:tcW w:w="1560" w:type="dxa"/>
            <w:gridSpan w:val="2"/>
            <w:tcBorders>
              <w:top w:val="single" w:sz="4" w:space="0" w:color="auto"/>
            </w:tcBorders>
            <w:vAlign w:val="center"/>
          </w:tcPr>
          <w:p w14:paraId="1DFD27AB"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3E77CCD"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2AB885C"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99AFAA0"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98DB7B9"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5CCE07C0" w14:textId="77777777" w:rsidR="00E47FDD" w:rsidRDefault="00E47FDD" w:rsidP="005971A0">
            <w:pPr>
              <w:spacing w:line="300" w:lineRule="exact"/>
              <w:jc w:val="right"/>
              <w:rPr>
                <w:color w:val="323E4F" w:themeColor="text2" w:themeShade="BF"/>
                <w:sz w:val="2"/>
                <w:szCs w:val="2"/>
              </w:rPr>
            </w:pPr>
          </w:p>
        </w:tc>
      </w:tr>
      <w:tr w:rsidR="00E47FDD" w:rsidRPr="008B4946" w14:paraId="7F2F32D2" w14:textId="77777777" w:rsidTr="005971A0">
        <w:trPr>
          <w:trHeight w:val="432"/>
          <w:jc w:val="center"/>
        </w:trPr>
        <w:tc>
          <w:tcPr>
            <w:tcW w:w="1150" w:type="dxa"/>
            <w:vAlign w:val="center"/>
          </w:tcPr>
          <w:p w14:paraId="5BD5B17B" w14:textId="1002420E" w:rsidR="00E47FDD" w:rsidRPr="008B4946" w:rsidRDefault="008B4946" w:rsidP="005971A0">
            <w:pPr>
              <w:spacing w:line="400" w:lineRule="exact"/>
              <w:jc w:val="center"/>
              <w:rPr>
                <w:b/>
                <w:bCs/>
                <w:color w:val="70AD47" w:themeColor="accent6"/>
                <w:sz w:val="24"/>
              </w:rPr>
            </w:pPr>
            <w:r w:rsidRPr="008B4946">
              <w:rPr>
                <w:rFonts w:hint="eastAsia"/>
                <w:b/>
                <w:bCs/>
                <w:color w:val="70AD47" w:themeColor="accent6"/>
                <w:sz w:val="24"/>
              </w:rPr>
              <w:t>IGF-1</w:t>
            </w:r>
          </w:p>
        </w:tc>
        <w:tc>
          <w:tcPr>
            <w:tcW w:w="2536" w:type="dxa"/>
            <w:gridSpan w:val="2"/>
            <w:vAlign w:val="center"/>
          </w:tcPr>
          <w:p w14:paraId="300690CE" w14:textId="0FD66F25" w:rsidR="00E47FDD" w:rsidRPr="008B4946" w:rsidRDefault="008B4946" w:rsidP="005971A0">
            <w:pPr>
              <w:spacing w:line="400" w:lineRule="exact"/>
              <w:jc w:val="center"/>
              <w:rPr>
                <w:b/>
                <w:bCs/>
                <w:color w:val="70AD47" w:themeColor="accent6"/>
                <w:sz w:val="24"/>
              </w:rPr>
            </w:pPr>
            <w:r w:rsidRPr="008B4946">
              <w:rPr>
                <w:rFonts w:hint="eastAsia"/>
                <w:b/>
                <w:bCs/>
                <w:color w:val="70AD47" w:themeColor="accent6"/>
                <w:sz w:val="24"/>
              </w:rPr>
              <w:t>类胰岛素生长因子-1</w:t>
            </w:r>
          </w:p>
        </w:tc>
        <w:tc>
          <w:tcPr>
            <w:tcW w:w="1754" w:type="dxa"/>
            <w:gridSpan w:val="2"/>
            <w:vAlign w:val="center"/>
          </w:tcPr>
          <w:p>
            <w:r>
              <w:t>{{IGF_1_result}}</w:t>
            </w:r>
          </w:p>
        </w:tc>
        <w:tc>
          <w:tcPr>
            <w:tcW w:w="825" w:type="dxa"/>
            <w:gridSpan w:val="2"/>
            <w:vAlign w:val="center"/>
          </w:tcPr>
          <w:p>
            <w:r>
              <w:t>{{IGF_1_point}}</w:t>
            </w:r>
          </w:p>
        </w:tc>
        <w:tc>
          <w:tcPr>
            <w:tcW w:w="1980" w:type="dxa"/>
            <w:gridSpan w:val="2"/>
            <w:vAlign w:val="center"/>
          </w:tcPr>
          <w:p>
            <w:r>
              <w:t>{{IGF_1_refer}}</w:t>
            </w:r>
          </w:p>
        </w:tc>
        <w:tc>
          <w:tcPr>
            <w:tcW w:w="1408" w:type="dxa"/>
            <w:gridSpan w:val="2"/>
            <w:vAlign w:val="center"/>
          </w:tcPr>
          <w:p>
            <w:r>
              <w:t>{{IGF_1_unit}}</w:t>
            </w:r>
          </w:p>
        </w:tc>
      </w:tr>
    </w:tbl>
    <w:p w14:paraId="7605431D" w14:textId="77777777" w:rsidR="008B4946" w:rsidRPr="008B4946" w:rsidRDefault="008B4946" w:rsidP="008B4946">
      <w:pPr>
        <w:widowControl/>
        <w:spacing w:line="240" w:lineRule="auto"/>
        <w:jc w:val="left"/>
        <w:rPr>
          <w:color w:val="70AD47" w:themeColor="accent6"/>
        </w:rPr>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8B4946" w14:paraId="186F6434" w14:textId="77777777" w:rsidTr="005E0954">
        <w:trPr>
          <w:trHeight w:hRule="exact" w:val="113"/>
          <w:jc w:val="center"/>
        </w:trPr>
        <w:tc>
          <w:tcPr>
            <w:tcW w:w="1560" w:type="dxa"/>
            <w:gridSpan w:val="2"/>
            <w:tcBorders>
              <w:top w:val="single" w:sz="4" w:space="0" w:color="auto"/>
            </w:tcBorders>
            <w:vAlign w:val="center"/>
          </w:tcPr>
          <w:p w14:paraId="42ECA16D" w14:textId="77777777" w:rsidR="008B4946" w:rsidRDefault="008B4946" w:rsidP="005E0954">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AF9B009" w14:textId="77777777" w:rsidR="008B4946" w:rsidRDefault="008B4946" w:rsidP="005E0954">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7E31027" w14:textId="77777777" w:rsidR="008B4946" w:rsidRDefault="008B4946" w:rsidP="005E0954">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CEF7B90" w14:textId="77777777" w:rsidR="008B4946" w:rsidRDefault="008B4946" w:rsidP="005E0954">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A642386" w14:textId="77777777" w:rsidR="008B4946" w:rsidRDefault="008B4946" w:rsidP="005E0954">
            <w:pPr>
              <w:spacing w:line="300" w:lineRule="exact"/>
              <w:jc w:val="left"/>
              <w:rPr>
                <w:color w:val="323E4F" w:themeColor="text2" w:themeShade="BF"/>
                <w:sz w:val="2"/>
                <w:szCs w:val="2"/>
              </w:rPr>
            </w:pPr>
          </w:p>
        </w:tc>
        <w:tc>
          <w:tcPr>
            <w:tcW w:w="722" w:type="dxa"/>
            <w:tcBorders>
              <w:top w:val="single" w:sz="4" w:space="0" w:color="auto"/>
            </w:tcBorders>
            <w:vAlign w:val="center"/>
          </w:tcPr>
          <w:p w14:paraId="0EB387DA" w14:textId="77777777" w:rsidR="008B4946" w:rsidRDefault="008B4946" w:rsidP="005E0954">
            <w:pPr>
              <w:spacing w:line="300" w:lineRule="exact"/>
              <w:jc w:val="right"/>
              <w:rPr>
                <w:color w:val="323E4F" w:themeColor="text2" w:themeShade="BF"/>
                <w:sz w:val="2"/>
                <w:szCs w:val="2"/>
              </w:rPr>
            </w:pPr>
          </w:p>
        </w:tc>
      </w:tr>
      <w:tr w:rsidR="008B4946" w:rsidRPr="008B4946" w14:paraId="37379D21" w14:textId="77777777" w:rsidTr="005E0954">
        <w:trPr>
          <w:trHeight w:val="432"/>
          <w:jc w:val="center"/>
        </w:trPr>
        <w:tc>
          <w:tcPr>
            <w:tcW w:w="1150" w:type="dxa"/>
            <w:vAlign w:val="center"/>
          </w:tcPr>
          <w:p w14:paraId="0463E69A" w14:textId="786AD0C1" w:rsidR="008B4946" w:rsidRPr="008B4946" w:rsidRDefault="008B4946" w:rsidP="005E0954">
            <w:pPr>
              <w:spacing w:line="400" w:lineRule="exact"/>
              <w:jc w:val="center"/>
              <w:rPr>
                <w:b/>
                <w:bCs/>
                <w:color w:val="70AD47" w:themeColor="accent6"/>
                <w:sz w:val="24"/>
              </w:rPr>
            </w:pPr>
            <w:r>
              <w:rPr>
                <w:rFonts w:hint="eastAsia"/>
                <w:b/>
                <w:bCs/>
                <w:color w:val="70AD47" w:themeColor="accent6"/>
                <w:sz w:val="24"/>
              </w:rPr>
              <w:t>OSTE</w:t>
            </w:r>
          </w:p>
        </w:tc>
        <w:tc>
          <w:tcPr>
            <w:tcW w:w="2536" w:type="dxa"/>
            <w:gridSpan w:val="2"/>
            <w:vAlign w:val="center"/>
          </w:tcPr>
          <w:p w14:paraId="07924EE8" w14:textId="18DCE344" w:rsidR="008B4946" w:rsidRPr="008B4946" w:rsidRDefault="008B4946" w:rsidP="005E0954">
            <w:pPr>
              <w:spacing w:line="400" w:lineRule="exact"/>
              <w:jc w:val="center"/>
              <w:rPr>
                <w:b/>
                <w:bCs/>
                <w:color w:val="70AD47" w:themeColor="accent6"/>
                <w:sz w:val="24"/>
              </w:rPr>
            </w:pPr>
            <w:r>
              <w:rPr>
                <w:rFonts w:hint="eastAsia"/>
                <w:b/>
                <w:bCs/>
                <w:color w:val="70AD47" w:themeColor="accent6"/>
                <w:sz w:val="24"/>
              </w:rPr>
              <w:t>血浆骨钙素</w:t>
            </w:r>
          </w:p>
        </w:tc>
        <w:tc>
          <w:tcPr>
            <w:tcW w:w="1754" w:type="dxa"/>
            <w:gridSpan w:val="2"/>
            <w:vAlign w:val="center"/>
          </w:tcPr>
          <w:p>
            <w:r>
              <w:t>{{OSTE_result}}</w:t>
            </w:r>
          </w:p>
        </w:tc>
        <w:tc>
          <w:tcPr>
            <w:tcW w:w="825" w:type="dxa"/>
            <w:gridSpan w:val="2"/>
            <w:vAlign w:val="center"/>
          </w:tcPr>
          <w:p>
            <w:r>
              <w:t>{{OSTE_point}}</w:t>
            </w:r>
          </w:p>
        </w:tc>
        <w:tc>
          <w:tcPr>
            <w:tcW w:w="1980" w:type="dxa"/>
            <w:gridSpan w:val="2"/>
            <w:vAlign w:val="center"/>
          </w:tcPr>
          <w:p>
            <w:r>
              <w:t>{{OSTE_refer}}</w:t>
            </w:r>
          </w:p>
        </w:tc>
        <w:tc>
          <w:tcPr>
            <w:tcW w:w="1408" w:type="dxa"/>
            <w:gridSpan w:val="2"/>
            <w:vAlign w:val="center"/>
          </w:tcPr>
          <w:p>
            <w:r>
              <w:t>{{OSTE_unit}}</w:t>
            </w:r>
          </w:p>
        </w:tc>
      </w:tr>
    </w:tbl>
    <w:p w14:paraId="6B93D26D" w14:textId="77777777" w:rsidR="008B4946" w:rsidRPr="008B4946" w:rsidRDefault="008B4946" w:rsidP="008B4946">
      <w:pPr>
        <w:widowControl/>
        <w:spacing w:line="240" w:lineRule="auto"/>
        <w:jc w:val="left"/>
        <w:rPr>
          <w:color w:val="70AD47" w:themeColor="accent6"/>
        </w:rPr>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8B4946" w14:paraId="47C87155" w14:textId="77777777" w:rsidTr="005E0954">
        <w:trPr>
          <w:trHeight w:hRule="exact" w:val="113"/>
          <w:jc w:val="center"/>
        </w:trPr>
        <w:tc>
          <w:tcPr>
            <w:tcW w:w="1560" w:type="dxa"/>
            <w:gridSpan w:val="2"/>
            <w:tcBorders>
              <w:top w:val="single" w:sz="4" w:space="0" w:color="auto"/>
            </w:tcBorders>
            <w:vAlign w:val="center"/>
          </w:tcPr>
          <w:p w14:paraId="20FC9ED4" w14:textId="77777777" w:rsidR="008B4946" w:rsidRDefault="008B4946" w:rsidP="005E0954">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665EED4" w14:textId="77777777" w:rsidR="008B4946" w:rsidRDefault="008B4946" w:rsidP="005E0954">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F87FD40" w14:textId="77777777" w:rsidR="008B4946" w:rsidRDefault="008B4946" w:rsidP="005E0954">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F0B6FF7" w14:textId="77777777" w:rsidR="008B4946" w:rsidRDefault="008B4946" w:rsidP="005E0954">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4D35043" w14:textId="77777777" w:rsidR="008B4946" w:rsidRDefault="008B4946" w:rsidP="005E0954">
            <w:pPr>
              <w:spacing w:line="300" w:lineRule="exact"/>
              <w:jc w:val="left"/>
              <w:rPr>
                <w:color w:val="323E4F" w:themeColor="text2" w:themeShade="BF"/>
                <w:sz w:val="2"/>
                <w:szCs w:val="2"/>
              </w:rPr>
            </w:pPr>
          </w:p>
        </w:tc>
        <w:tc>
          <w:tcPr>
            <w:tcW w:w="722" w:type="dxa"/>
            <w:tcBorders>
              <w:top w:val="single" w:sz="4" w:space="0" w:color="auto"/>
            </w:tcBorders>
            <w:vAlign w:val="center"/>
          </w:tcPr>
          <w:p w14:paraId="69BB0C01" w14:textId="77777777" w:rsidR="008B4946" w:rsidRDefault="008B4946" w:rsidP="005E0954">
            <w:pPr>
              <w:spacing w:line="300" w:lineRule="exact"/>
              <w:jc w:val="right"/>
              <w:rPr>
                <w:color w:val="323E4F" w:themeColor="text2" w:themeShade="BF"/>
                <w:sz w:val="2"/>
                <w:szCs w:val="2"/>
              </w:rPr>
            </w:pPr>
          </w:p>
        </w:tc>
      </w:tr>
      <w:tr w:rsidR="008B4946" w:rsidRPr="008B4946" w14:paraId="35B91D5B" w14:textId="77777777" w:rsidTr="005E0954">
        <w:trPr>
          <w:trHeight w:val="432"/>
          <w:jc w:val="center"/>
        </w:trPr>
        <w:tc>
          <w:tcPr>
            <w:tcW w:w="1150" w:type="dxa"/>
            <w:vAlign w:val="center"/>
          </w:tcPr>
          <w:p w14:paraId="6FB0A417" w14:textId="42FE8820" w:rsidR="008B4946" w:rsidRPr="008B4946" w:rsidRDefault="008B4946" w:rsidP="005E0954">
            <w:pPr>
              <w:spacing w:line="400" w:lineRule="exact"/>
              <w:jc w:val="center"/>
              <w:rPr>
                <w:b/>
                <w:bCs/>
                <w:color w:val="70AD47" w:themeColor="accent6"/>
                <w:sz w:val="24"/>
              </w:rPr>
            </w:pPr>
            <w:r>
              <w:rPr>
                <w:rFonts w:hint="eastAsia"/>
                <w:b/>
                <w:bCs/>
                <w:color w:val="70AD47" w:themeColor="accent6"/>
                <w:sz w:val="24"/>
              </w:rPr>
              <w:t>P1NP</w:t>
            </w:r>
          </w:p>
        </w:tc>
        <w:tc>
          <w:tcPr>
            <w:tcW w:w="2536" w:type="dxa"/>
            <w:gridSpan w:val="2"/>
            <w:vAlign w:val="center"/>
          </w:tcPr>
          <w:p w14:paraId="6693FADE" w14:textId="3DF23526" w:rsidR="008B4946" w:rsidRPr="008B4946" w:rsidRDefault="008B4946" w:rsidP="005E0954">
            <w:pPr>
              <w:spacing w:line="400" w:lineRule="exact"/>
              <w:jc w:val="center"/>
              <w:rPr>
                <w:b/>
                <w:bCs/>
                <w:color w:val="70AD47" w:themeColor="accent6"/>
                <w:sz w:val="24"/>
              </w:rPr>
            </w:pPr>
            <w:r w:rsidRPr="008B4946">
              <w:rPr>
                <w:b/>
                <w:bCs/>
                <w:color w:val="70AD47" w:themeColor="accent6"/>
                <w:sz w:val="24"/>
              </w:rPr>
              <w:t>总I型胶原氨基端前肽</w:t>
            </w:r>
          </w:p>
        </w:tc>
        <w:tc>
          <w:tcPr>
            <w:tcW w:w="1754" w:type="dxa"/>
            <w:gridSpan w:val="2"/>
            <w:vAlign w:val="center"/>
          </w:tcPr>
          <w:p>
            <w:r>
              <w:t>{{P1NP_result}}</w:t>
            </w:r>
          </w:p>
        </w:tc>
        <w:tc>
          <w:tcPr>
            <w:tcW w:w="825" w:type="dxa"/>
            <w:gridSpan w:val="2"/>
            <w:vAlign w:val="center"/>
          </w:tcPr>
          <w:p>
            <w:r>
              <w:t>{{P1NP_point}}</w:t>
            </w:r>
          </w:p>
        </w:tc>
        <w:tc>
          <w:tcPr>
            <w:tcW w:w="1980" w:type="dxa"/>
            <w:gridSpan w:val="2"/>
            <w:vAlign w:val="center"/>
          </w:tcPr>
          <w:p>
            <w:r>
              <w:t>{{P1NP_refer}}</w:t>
            </w:r>
          </w:p>
        </w:tc>
        <w:tc>
          <w:tcPr>
            <w:tcW w:w="1408" w:type="dxa"/>
            <w:gridSpan w:val="2"/>
            <w:vAlign w:val="center"/>
          </w:tcPr>
          <w:p>
            <w:r>
              <w:t>{{P1NP_unit}}</w:t>
            </w:r>
          </w:p>
        </w:tc>
      </w:tr>
    </w:tbl>
    <w:p w14:paraId="50BDA27E" w14:textId="77777777" w:rsidR="00E47FDD" w:rsidRPr="008B4946" w:rsidRDefault="00E47FDD" w:rsidP="00E47FDD">
      <w:pPr>
        <w:widowControl/>
        <w:spacing w:line="240" w:lineRule="auto"/>
        <w:jc w:val="left"/>
        <w:rPr>
          <w:color w:val="70AD47" w:themeColor="accent6"/>
        </w:rPr>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E47FDD" w14:paraId="6A047419" w14:textId="77777777" w:rsidTr="005971A0">
        <w:trPr>
          <w:trHeight w:hRule="exact" w:val="113"/>
          <w:jc w:val="center"/>
        </w:trPr>
        <w:tc>
          <w:tcPr>
            <w:tcW w:w="1560" w:type="dxa"/>
            <w:gridSpan w:val="2"/>
            <w:tcBorders>
              <w:top w:val="single" w:sz="4" w:space="0" w:color="auto"/>
            </w:tcBorders>
            <w:vAlign w:val="center"/>
          </w:tcPr>
          <w:p w14:paraId="160F8D86"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DB507AC"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4F441F3"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992F9D8"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687A2E4"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2C80F359" w14:textId="77777777" w:rsidR="00E47FDD" w:rsidRDefault="00E47FDD" w:rsidP="005971A0">
            <w:pPr>
              <w:spacing w:line="300" w:lineRule="exact"/>
              <w:jc w:val="right"/>
              <w:rPr>
                <w:color w:val="323E4F" w:themeColor="text2" w:themeShade="BF"/>
                <w:sz w:val="2"/>
                <w:szCs w:val="2"/>
              </w:rPr>
            </w:pPr>
          </w:p>
        </w:tc>
      </w:tr>
      <w:tr w:rsidR="008B4946" w:rsidRPr="008B4946" w14:paraId="0CDE2660" w14:textId="77777777" w:rsidTr="005971A0">
        <w:trPr>
          <w:trHeight w:val="432"/>
          <w:jc w:val="center"/>
        </w:trPr>
        <w:tc>
          <w:tcPr>
            <w:tcW w:w="1150" w:type="dxa"/>
            <w:vAlign w:val="center"/>
          </w:tcPr>
          <w:p w14:paraId="47E6C9F5" w14:textId="07C2CE64" w:rsidR="00E47FDD" w:rsidRPr="008B4946" w:rsidRDefault="008B4946" w:rsidP="005971A0">
            <w:pPr>
              <w:spacing w:line="400" w:lineRule="exact"/>
              <w:jc w:val="center"/>
              <w:rPr>
                <w:b/>
                <w:bCs/>
                <w:color w:val="C00000"/>
                <w:sz w:val="24"/>
              </w:rPr>
            </w:pPr>
            <w:r w:rsidRPr="008B4946">
              <w:rPr>
                <w:b/>
                <w:bCs/>
                <w:color w:val="C00000"/>
                <w:sz w:val="24"/>
              </w:rPr>
              <w:t>H. pylori IgG</w:t>
            </w:r>
          </w:p>
        </w:tc>
        <w:tc>
          <w:tcPr>
            <w:tcW w:w="2536" w:type="dxa"/>
            <w:gridSpan w:val="2"/>
            <w:vAlign w:val="center"/>
          </w:tcPr>
          <w:p w14:paraId="7BDEA4E6" w14:textId="2D0FA79F" w:rsidR="00E47FDD" w:rsidRPr="008B4946" w:rsidRDefault="008B4946" w:rsidP="005971A0">
            <w:pPr>
              <w:spacing w:line="400" w:lineRule="exact"/>
              <w:jc w:val="center"/>
              <w:rPr>
                <w:b/>
                <w:bCs/>
                <w:color w:val="C00000"/>
                <w:sz w:val="24"/>
              </w:rPr>
            </w:pPr>
            <w:r w:rsidRPr="008B4946">
              <w:rPr>
                <w:rFonts w:hint="eastAsia"/>
                <w:b/>
                <w:bCs/>
                <w:color w:val="C00000"/>
                <w:sz w:val="24"/>
              </w:rPr>
              <w:t>幽门螺杆菌抗体</w:t>
            </w:r>
          </w:p>
        </w:tc>
        <w:tc>
          <w:tcPr>
            <w:tcW w:w="1754" w:type="dxa"/>
            <w:gridSpan w:val="2"/>
            <w:vAlign w:val="center"/>
          </w:tcPr>
          <w:p>
            <w:r>
              <w:t>{{HPYLORIIGG_result}}</w:t>
            </w:r>
          </w:p>
        </w:tc>
        <w:tc>
          <w:tcPr>
            <w:tcW w:w="825" w:type="dxa"/>
            <w:gridSpan w:val="2"/>
            <w:vAlign w:val="center"/>
          </w:tcPr>
          <w:p>
            <w:r>
              <w:t>{{HPYLORIIGG_point}}</w:t>
            </w:r>
          </w:p>
        </w:tc>
        <w:tc>
          <w:tcPr>
            <w:tcW w:w="1980" w:type="dxa"/>
            <w:gridSpan w:val="2"/>
            <w:vAlign w:val="center"/>
          </w:tcPr>
          <w:p>
            <w:r>
              <w:t>{{HPYLORIIGG_refer}}</w:t>
            </w:r>
          </w:p>
        </w:tc>
        <w:tc>
          <w:tcPr>
            <w:tcW w:w="1408" w:type="dxa"/>
            <w:gridSpan w:val="2"/>
            <w:vAlign w:val="center"/>
          </w:tcPr>
          <w:p>
            <w:r>
              <w:t>{{HPYLORIIGG_unit}}</w:t>
            </w:r>
          </w:p>
        </w:tc>
      </w:tr>
    </w:tbl>
    <w:p w14:paraId="4172E0C1" w14:textId="77777777" w:rsidR="00E47FDD" w:rsidRDefault="00E47FDD" w:rsidP="00E47FDD">
      <w:pPr>
        <w:widowControl/>
        <w:spacing w:line="240" w:lineRule="auto"/>
        <w:jc w:val="left"/>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E47FDD" w14:paraId="3AD16A0D" w14:textId="77777777" w:rsidTr="005971A0">
        <w:trPr>
          <w:trHeight w:hRule="exact" w:val="113"/>
          <w:jc w:val="center"/>
        </w:trPr>
        <w:tc>
          <w:tcPr>
            <w:tcW w:w="1560" w:type="dxa"/>
            <w:gridSpan w:val="2"/>
            <w:tcBorders>
              <w:top w:val="single" w:sz="4" w:space="0" w:color="auto"/>
            </w:tcBorders>
            <w:vAlign w:val="center"/>
          </w:tcPr>
          <w:p w14:paraId="6F252892"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F926EC8"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FB0F7B4"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31B7069"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EB43294"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220527B7" w14:textId="77777777" w:rsidR="00E47FDD" w:rsidRDefault="00E47FDD" w:rsidP="005971A0">
            <w:pPr>
              <w:spacing w:line="300" w:lineRule="exact"/>
              <w:jc w:val="right"/>
              <w:rPr>
                <w:color w:val="323E4F" w:themeColor="text2" w:themeShade="BF"/>
                <w:sz w:val="2"/>
                <w:szCs w:val="2"/>
              </w:rPr>
            </w:pPr>
          </w:p>
        </w:tc>
      </w:tr>
      <w:tr w:rsidR="008B4946" w:rsidRPr="008B4946" w14:paraId="67973E06" w14:textId="77777777" w:rsidTr="005971A0">
        <w:trPr>
          <w:trHeight w:val="432"/>
          <w:jc w:val="center"/>
        </w:trPr>
        <w:tc>
          <w:tcPr>
            <w:tcW w:w="1150" w:type="dxa"/>
            <w:vAlign w:val="center"/>
          </w:tcPr>
          <w:p w14:paraId="0EDE5502" w14:textId="37197689" w:rsidR="00E47FDD" w:rsidRPr="008B4946" w:rsidRDefault="008B4946" w:rsidP="005971A0">
            <w:pPr>
              <w:spacing w:line="400" w:lineRule="exact"/>
              <w:jc w:val="center"/>
              <w:rPr>
                <w:b/>
                <w:bCs/>
                <w:color w:val="C00000"/>
                <w:sz w:val="24"/>
              </w:rPr>
            </w:pPr>
            <w:r w:rsidRPr="008B4946">
              <w:rPr>
                <w:rFonts w:hint="eastAsia"/>
                <w:b/>
                <w:bCs/>
                <w:color w:val="C00000"/>
                <w:sz w:val="24"/>
              </w:rPr>
              <w:t>ANA</w:t>
            </w:r>
          </w:p>
        </w:tc>
        <w:tc>
          <w:tcPr>
            <w:tcW w:w="2536" w:type="dxa"/>
            <w:gridSpan w:val="2"/>
            <w:vAlign w:val="center"/>
          </w:tcPr>
          <w:p w14:paraId="026FF0DE" w14:textId="563C8EE4" w:rsidR="00E47FDD" w:rsidRPr="008B4946" w:rsidRDefault="008B4946" w:rsidP="005971A0">
            <w:pPr>
              <w:spacing w:line="400" w:lineRule="exact"/>
              <w:jc w:val="center"/>
              <w:rPr>
                <w:b/>
                <w:bCs/>
                <w:color w:val="C00000"/>
                <w:sz w:val="24"/>
              </w:rPr>
            </w:pPr>
            <w:r w:rsidRPr="008B4946">
              <w:rPr>
                <w:rFonts w:hint="eastAsia"/>
                <w:b/>
                <w:bCs/>
                <w:color w:val="C00000"/>
                <w:sz w:val="24"/>
              </w:rPr>
              <w:t>抗核抗体</w:t>
            </w:r>
          </w:p>
        </w:tc>
        <w:tc>
          <w:tcPr>
            <w:tcW w:w="1754" w:type="dxa"/>
            <w:gridSpan w:val="2"/>
            <w:vAlign w:val="center"/>
          </w:tcPr>
          <w:p>
            <w:r>
              <w:t>{{ANA_result}}</w:t>
            </w:r>
          </w:p>
        </w:tc>
        <w:tc>
          <w:tcPr>
            <w:tcW w:w="825" w:type="dxa"/>
            <w:gridSpan w:val="2"/>
            <w:vAlign w:val="center"/>
          </w:tcPr>
          <w:p>
            <w:r>
              <w:t>{{ANA_point}}</w:t>
            </w:r>
          </w:p>
        </w:tc>
        <w:tc>
          <w:tcPr>
            <w:tcW w:w="1980" w:type="dxa"/>
            <w:gridSpan w:val="2"/>
            <w:vAlign w:val="center"/>
          </w:tcPr>
          <w:p>
            <w:r>
              <w:t>{{ANA_refer}}</w:t>
            </w:r>
          </w:p>
        </w:tc>
        <w:tc>
          <w:tcPr>
            <w:tcW w:w="1408" w:type="dxa"/>
            <w:gridSpan w:val="2"/>
            <w:vAlign w:val="center"/>
          </w:tcPr>
          <w:p>
            <w:r>
              <w:t>{{ANA_unit}}</w:t>
            </w:r>
          </w:p>
        </w:tc>
      </w:tr>
    </w:tbl>
    <w:p w14:paraId="599158D2" w14:textId="77777777" w:rsidR="00B83A0F" w:rsidRDefault="00B83A0F" w:rsidP="00B83A0F">
      <w:pPr>
        <w:widowControl/>
        <w:spacing w:line="240" w:lineRule="auto"/>
        <w:jc w:val="left"/>
      </w:pPr>
    </w:p>
    <w:p w14:paraId="2D66E90A" w14:textId="77777777" w:rsidR="008B4946" w:rsidRDefault="008B4946">
      <w:pPr>
        <w:widowControl/>
        <w:spacing w:line="240" w:lineRule="auto"/>
        <w:jc w:val="left"/>
        <w:rPr>
          <w:rFonts w:cstheme="majorBidi"/>
          <w:b/>
          <w:bCs/>
          <w:sz w:val="28"/>
          <w:szCs w:val="28"/>
        </w:rPr>
      </w:pPr>
      <w:r>
        <w:br w:type="page"/>
      </w:r>
    </w:p>
    <w:p w14:paraId="209D5920" w14:textId="6595583C" w:rsidR="00B83A0F" w:rsidRPr="00C0663D" w:rsidRDefault="00B83A0F" w:rsidP="00C0663D">
      <w:pPr>
        <w:pStyle w:val="4-"/>
      </w:pPr>
      <w:r w:rsidRPr="00C0663D">
        <w:lastRenderedPageBreak/>
        <w:t xml:space="preserve">Overall </w:t>
      </w:r>
      <w:r w:rsidRPr="00C0663D">
        <w:rPr>
          <w:rFonts w:hint="eastAsia"/>
        </w:rPr>
        <w:t>H</w:t>
      </w:r>
      <w:r w:rsidRPr="00C0663D">
        <w:t xml:space="preserve">ealth </w:t>
      </w:r>
      <w:r w:rsidRPr="00C0663D">
        <w:rPr>
          <w:rFonts w:hint="eastAsia"/>
        </w:rPr>
        <w:t>A</w:t>
      </w:r>
      <w:r w:rsidRPr="00C0663D">
        <w:t>ssessment</w:t>
      </w:r>
      <w:r w:rsidRPr="00C0663D">
        <w:rPr>
          <w:rFonts w:hint="eastAsia"/>
        </w:rPr>
        <w:t xml:space="preserve"> 整体健康情况</w:t>
      </w:r>
    </w:p>
    <w:p w14:paraId="7C80B439" w14:textId="6EAED526" w:rsidR="007A6F4F" w:rsidRDefault="007A6F4F" w:rsidP="007A6F4F">
      <w:pPr>
        <w:pStyle w:val="00"/>
      </w:pPr>
      <w:r w:rsidRPr="007A6F4F">
        <w:t>From a functional medicine and holistic health perspective, the current test results indicate that most of your core parameters fall within normal reference ranges, suggesting an overall stable health status. However, several hematological, endocrine, and immunological markers present with abnormalities or borderline variations. These findings suggest potential risks in areas such as inflammatory regulation, hormonal balance, cellular repair, and immune tolerance, warranting further attention and long-term follow-up. A multidimensional interpretation is outlined below:</w:t>
      </w:r>
    </w:p>
    <w:p w14:paraId="617ACFFA" w14:textId="7902D3B5" w:rsidR="00E47FDD" w:rsidRDefault="007A6F4F" w:rsidP="007A6F4F">
      <w:pPr>
        <w:pStyle w:val="0"/>
      </w:pPr>
      <w:r w:rsidRPr="007A6F4F">
        <w:t>从功能医学与整体健康角度来看，本次检测结果显示</w:t>
      </w:r>
      <w:r>
        <w:rPr>
          <w:rFonts w:hint="eastAsia"/>
        </w:rPr>
        <w:t>您</w:t>
      </w:r>
      <w:r w:rsidRPr="007A6F4F">
        <w:t>的多数核心指标处于正常参考范围，整体健康状态较为稳定。然而，部分血液学、内分泌及免疫学指标出现了异常或边缘波动，这提示机体在炎症调控、荷尔蒙平衡、细胞更新以及免疫耐受等方面可能存在潜在风险，值得进一步关注与长期随访。以下从不同维度进行综合性解读：</w:t>
      </w:r>
    </w:p>
    <w:p w14:paraId="4169972C" w14:textId="77777777" w:rsidR="007A6F4F" w:rsidRDefault="007A6F4F" w:rsidP="007A6F4F">
      <w:pPr>
        <w:pStyle w:val="0"/>
      </w:pPr>
    </w:p>
    <w:p w14:paraId="218194DD" w14:textId="57843FEA" w:rsidR="007A6F4F" w:rsidRPr="00FF6A03" w:rsidRDefault="007A6F4F" w:rsidP="007A6F4F">
      <w:pPr>
        <w:pStyle w:val="00"/>
        <w:rPr>
          <w:b/>
          <w:bCs/>
        </w:rPr>
      </w:pPr>
      <w:r w:rsidRPr="00FF6A03">
        <w:rPr>
          <w:b/>
          <w:bCs/>
        </w:rPr>
        <w:t>(I) Hematology and Inflammatory Status</w:t>
      </w:r>
    </w:p>
    <w:p w14:paraId="77CA3145" w14:textId="58B51B4F" w:rsidR="007A6F4F" w:rsidRPr="00FF6A03" w:rsidRDefault="007A6F4F" w:rsidP="007A6F4F">
      <w:pPr>
        <w:pStyle w:val="0"/>
        <w:rPr>
          <w:b/>
          <w:bCs/>
        </w:rPr>
      </w:pPr>
      <w:r w:rsidRPr="00FF6A03">
        <w:rPr>
          <w:b/>
          <w:bCs/>
        </w:rPr>
        <w:t>（一）血液学与炎症状态</w:t>
      </w:r>
    </w:p>
    <w:p w14:paraId="32DE1B85" w14:textId="7DF16A6F" w:rsidR="007A6F4F" w:rsidRDefault="007A6F4F" w:rsidP="007A6F4F">
      <w:pPr>
        <w:pStyle w:val="00"/>
      </w:pPr>
      <w:r w:rsidRPr="007A6F4F">
        <w:t>The complete blood count is largely within normal limits, with red blood cell count, hemoglobin, platelets, and white blood cell count all indicating a stable hematopoietic and immune system. However, it is notable that the mean corpuscular hemoglobin (MCH) is mildly elevated, and red cell distribution width (RDW) is slightly reduced, reflecting increased uniformity of red cell morphology and hemoglobin distribution. While this does not necessarily indicate a serious disorder, it may suggest potential insufficiency of iron, folate, or B vitamins.</w:t>
      </w:r>
    </w:p>
    <w:p w14:paraId="4A2776BC" w14:textId="02331629" w:rsidR="007A6F4F" w:rsidRDefault="007A6F4F" w:rsidP="007A6F4F">
      <w:pPr>
        <w:pStyle w:val="0"/>
        <w:rPr>
          <w:color w:val="C00000"/>
        </w:rPr>
      </w:pPr>
      <w:r>
        <w:t>血常规结果整体正常，红细胞数、血红蛋白、血小板及白细胞计数均在参考范围之内，提示造血功能及免疫系统处于基础稳态。但需要注意的是，平均红细胞血红蛋白含量（</w:t>
      </w:r>
      <w:r>
        <w:t>MCH</w:t>
      </w:r>
      <w:r>
        <w:t>）轻度升高，红细胞体积分布宽度（</w:t>
      </w:r>
      <w:r>
        <w:t>RDW</w:t>
      </w:r>
      <w:r>
        <w:t>）偏低，反映出红细胞形态和血红蛋白分布的均一性增高。</w:t>
      </w:r>
      <w:r w:rsidRPr="007A6F4F">
        <w:rPr>
          <w:color w:val="C00000"/>
        </w:rPr>
        <w:t>这通常不代表严重疾病，但可能提示机体缺乏铁、叶酸或维生素</w:t>
      </w:r>
      <w:r w:rsidRPr="007A6F4F">
        <w:rPr>
          <w:color w:val="C00000"/>
        </w:rPr>
        <w:t>B</w:t>
      </w:r>
      <w:r w:rsidRPr="007A6F4F">
        <w:rPr>
          <w:color w:val="C00000"/>
        </w:rPr>
        <w:t>族等营养素的潜在风险。</w:t>
      </w:r>
    </w:p>
    <w:p w14:paraId="6D9E49C4" w14:textId="5397FC48" w:rsidR="007A6F4F" w:rsidRDefault="007A6F4F" w:rsidP="007A6F4F">
      <w:pPr>
        <w:pStyle w:val="00"/>
      </w:pPr>
      <w:r w:rsidRPr="007A6F4F">
        <w:t>In addition, the erythrocyte sedimentation rate (ESR) is elevated, suggesting the presence of systemic inflammatory activity or a state of chronic stress. Although not markedly abnormal, from a preventive functional medicine perspective, this warrants attention to possible underlying low-grade inflammation, such as chronic gastrointestinal irritation, subclinical infection, or stress-induced inflammatory responses.</w:t>
      </w:r>
    </w:p>
    <w:p w14:paraId="1005463D" w14:textId="6702D406" w:rsidR="00C0663D" w:rsidRDefault="007A6F4F" w:rsidP="007A6F4F">
      <w:pPr>
        <w:pStyle w:val="0"/>
        <w:rPr>
          <w:color w:val="C00000"/>
        </w:rPr>
      </w:pPr>
      <w:r w:rsidRPr="007A6F4F">
        <w:rPr>
          <w:color w:val="C00000"/>
        </w:rPr>
        <w:t>此外，红细胞沉降率（</w:t>
      </w:r>
      <w:r w:rsidRPr="007A6F4F">
        <w:rPr>
          <w:color w:val="C00000"/>
        </w:rPr>
        <w:t>ESR</w:t>
      </w:r>
      <w:r w:rsidRPr="007A6F4F">
        <w:rPr>
          <w:color w:val="C00000"/>
        </w:rPr>
        <w:t>）升高，提示体内存在一定程度的炎症反应或慢性应激状态。</w:t>
      </w:r>
      <w:r>
        <w:t>虽然未达到高度异常，但结合功能医学的预防理念，仍需</w:t>
      </w:r>
      <w:r w:rsidRPr="007A6F4F">
        <w:rPr>
          <w:color w:val="C00000"/>
        </w:rPr>
        <w:t>关注机体是否存在隐匿性炎症或组织损伤，如胃肠道慢性炎症、亚临床感染或长期生活方式压力所致的低度炎症。</w:t>
      </w:r>
    </w:p>
    <w:p w14:paraId="45DC9BB6" w14:textId="77777777" w:rsidR="007A6F4F" w:rsidRDefault="007A6F4F" w:rsidP="007A6F4F">
      <w:pPr>
        <w:pStyle w:val="0"/>
      </w:pPr>
    </w:p>
    <w:p w14:paraId="085FD1E5" w14:textId="79A300D6" w:rsidR="007A6F4F" w:rsidRPr="00FF6A03" w:rsidRDefault="007A6F4F" w:rsidP="007A6F4F">
      <w:pPr>
        <w:pStyle w:val="00"/>
        <w:rPr>
          <w:b/>
          <w:bCs/>
        </w:rPr>
      </w:pPr>
      <w:r w:rsidRPr="00FF6A03">
        <w:rPr>
          <w:b/>
          <w:bCs/>
        </w:rPr>
        <w:t>(II) Hormonal and Endocrine Regulation</w:t>
      </w:r>
    </w:p>
    <w:p w14:paraId="3F6178CC" w14:textId="77777777" w:rsidR="007A6F4F" w:rsidRPr="00FF6A03" w:rsidRDefault="007A6F4F" w:rsidP="007A6F4F">
      <w:pPr>
        <w:pStyle w:val="0"/>
        <w:rPr>
          <w:b/>
          <w:bCs/>
        </w:rPr>
      </w:pPr>
      <w:r w:rsidRPr="00FF6A03">
        <w:rPr>
          <w:b/>
          <w:bCs/>
        </w:rPr>
        <w:t>（二）荷尔蒙与内分泌调节</w:t>
      </w:r>
    </w:p>
    <w:p w14:paraId="196402AD" w14:textId="41AF9027" w:rsidR="007A6F4F" w:rsidRDefault="007A6F4F" w:rsidP="007A6F4F">
      <w:pPr>
        <w:pStyle w:val="00"/>
      </w:pPr>
      <w:r w:rsidRPr="007A6F4F">
        <w:t>Endocrine testing revealed that progesterone levels are relatively low, particularly at the lower end of the follicular or ovulatory phase range. This suggests possible luteal insufficiency or impaired ovarian endocrine function. Such findings are common in modern women due to stress, inadequate sleep, dietary imbalances, or diminished ovarian reserve. Persistent hormonal fluctuations may affect menstrual regularity, reproductive potential, bone metabolism, and mood regulation.</w:t>
      </w:r>
    </w:p>
    <w:p w14:paraId="7AE60586" w14:textId="7CE5E308" w:rsidR="007A6F4F" w:rsidRDefault="007A6F4F" w:rsidP="007A6F4F">
      <w:pPr>
        <w:pStyle w:val="0"/>
        <w:rPr>
          <w:color w:val="C00000"/>
        </w:rPr>
      </w:pPr>
      <w:r>
        <w:t>在内分泌检测中，黄体酮（</w:t>
      </w:r>
      <w:r>
        <w:t>Progesterone</w:t>
      </w:r>
      <w:r>
        <w:t>）水平偏低，尤其是在卵泡期或排卵期下限，提示黄</w:t>
      </w:r>
      <w:r>
        <w:lastRenderedPageBreak/>
        <w:t>体功能或卵巢内分泌状态可能存在不足。这类情况常见于</w:t>
      </w:r>
      <w:r w:rsidRPr="007A6F4F">
        <w:rPr>
          <w:color w:val="C00000"/>
        </w:rPr>
        <w:t>现代女性的内分泌失衡，与压力、睡眠不足、饮食紊乱或卵巢储备功能下降有关。长期的荷尔蒙波动可能影响月经规律、生殖功能及骨骼代谢，同时也与情绪状态密切相关。</w:t>
      </w:r>
    </w:p>
    <w:p w14:paraId="635BA3BA" w14:textId="46586B60" w:rsidR="007A6F4F" w:rsidRPr="007A6F4F" w:rsidRDefault="007A6F4F" w:rsidP="007A6F4F">
      <w:pPr>
        <w:pStyle w:val="00"/>
      </w:pPr>
      <w:r w:rsidRPr="007A6F4F">
        <w:t>Insulin-like growth factor-1 (IGF-1) levels are also below the reference range, indicating relative suppression of the growth hormone axis. This may be associated with impaired cellular repair, reduced metabolic efficiency, and accelerated aging. IGF-1 plays a pivotal role in anti-aging and metabolic regulation, and insufficient levels may compromise tissue regeneration, lean muscle preservation, and cardiovascular or skeletal health.</w:t>
      </w:r>
    </w:p>
    <w:p w14:paraId="67C3FFE2" w14:textId="1A439655" w:rsidR="007A6F4F" w:rsidRDefault="007A6F4F" w:rsidP="007A6F4F">
      <w:pPr>
        <w:pStyle w:val="0"/>
        <w:rPr>
          <w:color w:val="C00000"/>
        </w:rPr>
      </w:pPr>
      <w:r>
        <w:t>IGF-1</w:t>
      </w:r>
      <w:r>
        <w:t>（类胰岛素生长因子</w:t>
      </w:r>
      <w:r>
        <w:t>-1</w:t>
      </w:r>
      <w:r>
        <w:t>）水平低于参考值，提示</w:t>
      </w:r>
      <w:r w:rsidRPr="007A6F4F">
        <w:rPr>
          <w:color w:val="C00000"/>
        </w:rPr>
        <w:t>机体的生长激素轴功能偏弱，可能与细胞修复、代谢效率下降及衰老过程加速相关。</w:t>
      </w:r>
      <w:r>
        <w:t xml:space="preserve">IGF-1 </w:t>
      </w:r>
      <w:r>
        <w:t>在抗衰老和能量代谢中具有关键作用，其不足</w:t>
      </w:r>
      <w:r w:rsidRPr="007A6F4F">
        <w:rPr>
          <w:color w:val="C00000"/>
        </w:rPr>
        <w:t>可能导致组织修复能力减弱、肌肉质量维持受限，甚至影响心血管及骨骼健康。</w:t>
      </w:r>
    </w:p>
    <w:p w14:paraId="562CC509" w14:textId="085AEBC4" w:rsidR="007A6F4F" w:rsidRPr="007A6F4F" w:rsidRDefault="007A6F4F" w:rsidP="007A6F4F">
      <w:pPr>
        <w:pStyle w:val="00"/>
      </w:pPr>
      <w:r w:rsidRPr="007A6F4F">
        <w:t>Other hormones, such as estradiol, testosterone, and thyroid markers (TSH, FT3, FT4), remain within normal ranges, reflecting a generally preserved endocrine balance. However, dynamic monitoring in relation to age and clinical symptoms is recommended.</w:t>
      </w:r>
    </w:p>
    <w:p w14:paraId="381E51DA" w14:textId="18C1F31D" w:rsidR="007A6F4F" w:rsidRDefault="007A6F4F" w:rsidP="007A6F4F">
      <w:pPr>
        <w:pStyle w:val="0"/>
      </w:pPr>
      <w:r>
        <w:t>其他荷尔蒙如雌二醇、睾酮、甲状腺功能指标（</w:t>
      </w:r>
      <w:r>
        <w:t>TSH</w:t>
      </w:r>
      <w:r>
        <w:t>、</w:t>
      </w:r>
      <w:r>
        <w:t>FT3</w:t>
      </w:r>
      <w:r>
        <w:t>、</w:t>
      </w:r>
      <w:r>
        <w:t>FT4</w:t>
      </w:r>
      <w:r>
        <w:t>）均处于正常范围，提示整体内分泌功能尚可，但需要结合年龄及症状进行动态观察。</w:t>
      </w:r>
    </w:p>
    <w:p w14:paraId="6611679F" w14:textId="77777777" w:rsidR="007A6F4F" w:rsidRDefault="007A6F4F" w:rsidP="007A6F4F">
      <w:pPr>
        <w:pStyle w:val="0"/>
      </w:pPr>
    </w:p>
    <w:p w14:paraId="482F2C86" w14:textId="17E073AA" w:rsidR="007A6F4F" w:rsidRPr="00FF6A03" w:rsidRDefault="007A6F4F" w:rsidP="007A6F4F">
      <w:pPr>
        <w:pStyle w:val="00"/>
        <w:rPr>
          <w:b/>
          <w:bCs/>
        </w:rPr>
      </w:pPr>
      <w:r w:rsidRPr="00FF6A03">
        <w:rPr>
          <w:b/>
          <w:bCs/>
        </w:rPr>
        <w:t>(III) Immunology and Infection Risk</w:t>
      </w:r>
    </w:p>
    <w:p w14:paraId="3E1975BD" w14:textId="2DEAFEFD" w:rsidR="007A6F4F" w:rsidRPr="00FF6A03" w:rsidRDefault="007A6F4F" w:rsidP="007A6F4F">
      <w:pPr>
        <w:pStyle w:val="0"/>
        <w:rPr>
          <w:b/>
          <w:bCs/>
        </w:rPr>
      </w:pPr>
      <w:r w:rsidRPr="00FF6A03">
        <w:rPr>
          <w:b/>
          <w:bCs/>
        </w:rPr>
        <w:t>（三）免疫学与感染风险</w:t>
      </w:r>
    </w:p>
    <w:p w14:paraId="3AA3345B" w14:textId="07318617" w:rsidR="007A6F4F" w:rsidRPr="007A6F4F" w:rsidRDefault="007A6F4F" w:rsidP="007A6F4F">
      <w:pPr>
        <w:pStyle w:val="00"/>
      </w:pPr>
      <w:r w:rsidRPr="007A6F4F">
        <w:t>Immunological findings reveal:</w:t>
      </w:r>
    </w:p>
    <w:p w14:paraId="6FE0A350" w14:textId="2B450E06" w:rsidR="007A6F4F" w:rsidRDefault="007A6F4F" w:rsidP="007A6F4F">
      <w:pPr>
        <w:pStyle w:val="0"/>
      </w:pPr>
      <w:r>
        <w:t>免疫学检测结果提示：</w:t>
      </w:r>
    </w:p>
    <w:p w14:paraId="10A49CB8" w14:textId="74DB6784" w:rsidR="007A6F4F" w:rsidRDefault="007A6F4F" w:rsidP="007A6F4F">
      <w:pPr>
        <w:pStyle w:val="00"/>
      </w:pPr>
      <w:r w:rsidRPr="007A6F4F">
        <w:t xml:space="preserve">Positive antinuclear antibody (ANA, 1:80, speckled pattern): Although </w:t>
      </w:r>
      <w:proofErr w:type="gramStart"/>
      <w:r w:rsidRPr="007A6F4F">
        <w:t>low-titer</w:t>
      </w:r>
      <w:proofErr w:type="gramEnd"/>
      <w:r w:rsidRPr="007A6F4F">
        <w:t>, this indicates a degree of autoimmune activation. Such results are sometimes seen in otherwise healthy individuals, but they may also represent early markers of systemic autoimmune disorders such as systemic lupus erythematosus or Sjögren’s syndrome. Periodic reassessment and correlation with clinical manifestations are advisable.</w:t>
      </w:r>
    </w:p>
    <w:p w14:paraId="747E714F" w14:textId="61E7B200" w:rsidR="007A6F4F" w:rsidRDefault="007A6F4F" w:rsidP="007A6F4F">
      <w:pPr>
        <w:pStyle w:val="0"/>
      </w:pPr>
      <w:r>
        <w:t xml:space="preserve">ANA </w:t>
      </w:r>
      <w:r>
        <w:t>抗核抗体阳性（</w:t>
      </w:r>
      <w:r>
        <w:t>1:80</w:t>
      </w:r>
      <w:r>
        <w:t>，斑点型）：虽为低滴度，但提示机体存在一定的自身免疫反应。这在临床上常见于</w:t>
      </w:r>
      <w:r w:rsidRPr="007A6F4F">
        <w:rPr>
          <w:color w:val="C00000"/>
        </w:rPr>
        <w:t>健康个体的早期免疫活化，但亦可能成为系统性自身免疫性疾病（如</w:t>
      </w:r>
      <w:r w:rsidRPr="007A6F4F">
        <w:rPr>
          <w:color w:val="C00000"/>
        </w:rPr>
        <w:t>SLE</w:t>
      </w:r>
      <w:r w:rsidRPr="007A6F4F">
        <w:rPr>
          <w:color w:val="C00000"/>
        </w:rPr>
        <w:t>、干燥综合征）的早期信号</w:t>
      </w:r>
      <w:r>
        <w:t>。需要定期复查并结合临床症状判断。</w:t>
      </w:r>
    </w:p>
    <w:p w14:paraId="4B4AFD8A" w14:textId="710E112B" w:rsidR="007A6F4F" w:rsidRDefault="007A6F4F" w:rsidP="007A6F4F">
      <w:pPr>
        <w:pStyle w:val="00"/>
      </w:pPr>
      <w:r w:rsidRPr="007A6F4F">
        <w:t xml:space="preserve">Positive Helicobacter pylori IgG: Suggests the presence of chronic gastric mucosal infection. Helicobacter pylori </w:t>
      </w:r>
      <w:proofErr w:type="gramStart"/>
      <w:r w:rsidRPr="007A6F4F">
        <w:t>has</w:t>
      </w:r>
      <w:proofErr w:type="gramEnd"/>
      <w:r w:rsidRPr="007A6F4F">
        <w:t xml:space="preserve"> established links with chronic gastritis, peptic ulcer disease, and increased gastric cancer risk.</w:t>
      </w:r>
    </w:p>
    <w:p w14:paraId="43C979C9" w14:textId="3687F0BA" w:rsidR="007A6F4F" w:rsidRDefault="007A6F4F" w:rsidP="007A6F4F">
      <w:pPr>
        <w:pStyle w:val="0"/>
        <w:rPr>
          <w:color w:val="C00000"/>
        </w:rPr>
      </w:pPr>
      <w:r>
        <w:t>幽门螺杆菌抗体阳性：提示存在胃黏膜慢性感染的可能。</w:t>
      </w:r>
      <w:r w:rsidRPr="007A6F4F">
        <w:rPr>
          <w:color w:val="C00000"/>
        </w:rPr>
        <w:t>幽门螺杆菌与慢性胃炎、消化性溃疡乃至胃癌风险密切相关。</w:t>
      </w:r>
    </w:p>
    <w:p w14:paraId="0FFAC605" w14:textId="1F0F2AE9" w:rsidR="007A6F4F" w:rsidRDefault="007A6F4F" w:rsidP="007A6F4F">
      <w:pPr>
        <w:pStyle w:val="00"/>
      </w:pPr>
      <w:r w:rsidRPr="007A6F4F">
        <w:t>Other infectious disease markers (HIV, HBV, HCV) are negative, which is reassuring.</w:t>
      </w:r>
    </w:p>
    <w:p w14:paraId="19CB3928" w14:textId="2351FB6C" w:rsidR="007A6F4F" w:rsidRDefault="007A6F4F" w:rsidP="007A6F4F">
      <w:pPr>
        <w:pStyle w:val="0"/>
      </w:pPr>
      <w:r>
        <w:t>其他感染学指标（</w:t>
      </w:r>
      <w:r>
        <w:t>HIV</w:t>
      </w:r>
      <w:r>
        <w:t>、</w:t>
      </w:r>
      <w:r>
        <w:t>HBV</w:t>
      </w:r>
      <w:r>
        <w:t>、</w:t>
      </w:r>
      <w:r>
        <w:t>HCV</w:t>
      </w:r>
      <w:r>
        <w:t>）均为阴性，具有保护意义。</w:t>
      </w:r>
    </w:p>
    <w:p w14:paraId="65B30EA6" w14:textId="77777777" w:rsidR="00C0663D" w:rsidRDefault="00C0663D" w:rsidP="007A6F4F">
      <w:pPr>
        <w:pStyle w:val="0"/>
      </w:pPr>
    </w:p>
    <w:p w14:paraId="72FEAA30" w14:textId="69FC397A" w:rsidR="007A6F4F" w:rsidRPr="00FF6A03" w:rsidRDefault="007A6F4F" w:rsidP="007A6F4F">
      <w:pPr>
        <w:pStyle w:val="00"/>
        <w:rPr>
          <w:b/>
          <w:bCs/>
        </w:rPr>
      </w:pPr>
      <w:r w:rsidRPr="00FF6A03">
        <w:rPr>
          <w:b/>
          <w:bCs/>
        </w:rPr>
        <w:t>(IV) Nutrition and Metabolic Profile</w:t>
      </w:r>
    </w:p>
    <w:p w14:paraId="221314F2" w14:textId="182AEB83" w:rsidR="007A6F4F" w:rsidRPr="00FF6A03" w:rsidRDefault="007A6F4F" w:rsidP="007A6F4F">
      <w:pPr>
        <w:pStyle w:val="0"/>
        <w:rPr>
          <w:b/>
          <w:bCs/>
        </w:rPr>
      </w:pPr>
      <w:r w:rsidRPr="00FF6A03">
        <w:rPr>
          <w:b/>
          <w:bCs/>
        </w:rPr>
        <w:t>（四）营养与代谢状况</w:t>
      </w:r>
    </w:p>
    <w:p w14:paraId="5D36318A" w14:textId="4F1A6DF9" w:rsidR="007A6F4F" w:rsidRPr="007A6F4F" w:rsidRDefault="007A6F4F" w:rsidP="007A6F4F">
      <w:pPr>
        <w:pStyle w:val="00"/>
      </w:pPr>
      <w:r w:rsidRPr="007A6F4F">
        <w:t xml:space="preserve">Markers of glucose, lipid metabolism, electrolytes, renal, and hepatic function are all within reference limits. </w:t>
      </w:r>
      <w:r w:rsidRPr="007A6F4F">
        <w:lastRenderedPageBreak/>
        <w:t>HbA1c is 5.3%, reflecting well-controlled glycemic metabolism with no immediate risk of diabetes or impaired glucose tolerance. The lipid panel shows favorable results, with elevated HDL cholesterol and acceptable LDL cholesterol, suggesting a low cardiovascular risk profile.</w:t>
      </w:r>
    </w:p>
    <w:p w14:paraId="048A6EC7" w14:textId="4199AF32" w:rsidR="007A6F4F" w:rsidRDefault="007A6F4F" w:rsidP="007A6F4F">
      <w:pPr>
        <w:pStyle w:val="0"/>
      </w:pPr>
      <w:r>
        <w:t>血糖、血脂、电解质及肝肾功能指标均在正常范围，</w:t>
      </w:r>
      <w:r>
        <w:t xml:space="preserve">HbA1c </w:t>
      </w:r>
      <w:r>
        <w:t>为</w:t>
      </w:r>
      <w:r>
        <w:t xml:space="preserve"> 5.3%</w:t>
      </w:r>
      <w:r>
        <w:t>，提示糖代谢良好，短期内无糖尿病或糖耐量异常风险。血脂方面，</w:t>
      </w:r>
      <w:r>
        <w:t xml:space="preserve">HDL </w:t>
      </w:r>
      <w:r>
        <w:t>偏高，</w:t>
      </w:r>
      <w:r>
        <w:t xml:space="preserve">LDL </w:t>
      </w:r>
      <w:r>
        <w:t>在可接受范围，整体心血管风险较低。</w:t>
      </w:r>
    </w:p>
    <w:p w14:paraId="247ADB9D" w14:textId="2B1D2179" w:rsidR="007A6F4F" w:rsidRDefault="007A6F4F" w:rsidP="007A6F4F">
      <w:pPr>
        <w:pStyle w:val="00"/>
      </w:pPr>
      <w:r w:rsidRPr="007A6F4F">
        <w:t>Nevertheless, nutritional status indicators, such as ferritin, copper, and zinc, are within mid-normal ranges. Although no overt deficiencies are evident, the subtle hematological abnormalities raise the possibility of insufficient intake of B vitamins, folate, and antioxidant nutrients, which warrants preventive optimization.</w:t>
      </w:r>
    </w:p>
    <w:p w14:paraId="48B098D1" w14:textId="4DC8825D" w:rsidR="007A6F4F" w:rsidRDefault="007A6F4F" w:rsidP="007A6F4F">
      <w:pPr>
        <w:pStyle w:val="0"/>
      </w:pPr>
      <w:r>
        <w:t>然而，营养相关的微量调控指标显示，铁蛋白、铜、锌均处于参考范围中段，说明无明显缺乏，</w:t>
      </w:r>
      <w:r w:rsidRPr="007A6F4F">
        <w:rPr>
          <w:color w:val="C00000"/>
        </w:rPr>
        <w:t>但结合红细胞参数轻微异常，仍需关注</w:t>
      </w:r>
      <w:r w:rsidRPr="007A6F4F">
        <w:rPr>
          <w:color w:val="C00000"/>
        </w:rPr>
        <w:t>B</w:t>
      </w:r>
      <w:r w:rsidRPr="007A6F4F">
        <w:rPr>
          <w:color w:val="C00000"/>
        </w:rPr>
        <w:t>族维生素、叶酸及抗氧化物质的摄入情况。</w:t>
      </w:r>
    </w:p>
    <w:p w14:paraId="66234918" w14:textId="77777777" w:rsidR="007A6F4F" w:rsidRDefault="007A6F4F" w:rsidP="007A6F4F">
      <w:pPr>
        <w:pStyle w:val="0"/>
      </w:pPr>
    </w:p>
    <w:p w14:paraId="4BD5FF0C" w14:textId="3873D260" w:rsidR="007A6F4F" w:rsidRDefault="007A6F4F" w:rsidP="007A6F4F">
      <w:pPr>
        <w:pStyle w:val="00"/>
      </w:pPr>
      <w:r w:rsidRPr="007A6F4F">
        <w:t>Functional medicine emphasizes proactive prevention. Before clinical symptoms manifest, functional optimization through lifestyle, nutritional interventions, and stress management can significantly enhance systemic balance. The borderline and abnormal findings highlighted in this report provide valuable guidance for initiating targeted functional medicine management. By optimizing hormonal balance, reducing systemic inflammation, supporting immune stability, and enhancing cellular repair mechanisms, you can prevent chronic disease onset, decelerate biological aging, and achieve a higher quality of life.</w:t>
      </w:r>
    </w:p>
    <w:p w14:paraId="3DC297E9" w14:textId="3037C32F" w:rsidR="007A6F4F" w:rsidRDefault="007A6F4F" w:rsidP="00EF082D">
      <w:pPr>
        <w:pStyle w:val="0"/>
      </w:pPr>
      <w:r>
        <w:t>功能医学强调</w:t>
      </w:r>
      <w:r>
        <w:t>“</w:t>
      </w:r>
      <w:r>
        <w:t>未病先防</w:t>
      </w:r>
      <w:r>
        <w:t>”</w:t>
      </w:r>
      <w:r>
        <w:t>，在疾病尚未出现临床症状前，通过生活方式、营养干预及压力管理改善机体功能。本报告中的异常和临界指标正提示</w:t>
      </w:r>
      <w:r>
        <w:rPr>
          <w:rFonts w:hint="eastAsia"/>
        </w:rPr>
        <w:t>您</w:t>
      </w:r>
      <w:r>
        <w:t>应开展更深度的功能医学管理，以优化荷尔蒙平衡、降低炎症水平、保护免疫稳态并改善细胞修复能力。这不仅有助于慢病预防，也对延缓衰老与提升生活质量具有深远意义。</w:t>
      </w:r>
    </w:p>
    <w:p w14:paraId="68545970" w14:textId="77777777" w:rsidR="00EF082D" w:rsidRDefault="00EF082D" w:rsidP="00EF082D">
      <w:pPr>
        <w:pStyle w:val="0"/>
        <w:rPr>
          <w:rFonts w:cstheme="majorBidi"/>
          <w:b/>
          <w:bCs/>
          <w:sz w:val="28"/>
          <w:szCs w:val="28"/>
        </w:rPr>
      </w:pPr>
    </w:p>
    <w:p w14:paraId="378F9E8A" w14:textId="728D9CBB" w:rsidR="00C0663D" w:rsidRPr="00C0663D" w:rsidRDefault="00C0663D" w:rsidP="00C0663D">
      <w:pPr>
        <w:pStyle w:val="4-"/>
      </w:pPr>
      <w:r w:rsidRPr="00C0663D">
        <w:t xml:space="preserve">Medical </w:t>
      </w:r>
      <w:r>
        <w:rPr>
          <w:rFonts w:hint="eastAsia"/>
        </w:rPr>
        <w:t>I</w:t>
      </w:r>
      <w:r w:rsidRPr="00C0663D">
        <w:t>ntervention</w:t>
      </w:r>
      <w:r w:rsidRPr="00C0663D">
        <w:rPr>
          <w:rFonts w:hint="eastAsia"/>
        </w:rPr>
        <w:t xml:space="preserve"> </w:t>
      </w:r>
      <w:r>
        <w:rPr>
          <w:rFonts w:hint="eastAsia"/>
        </w:rPr>
        <w:t>「医学干预」建议方案</w:t>
      </w:r>
    </w:p>
    <w:p w14:paraId="54C74BDC" w14:textId="77777777" w:rsidR="00C0663D" w:rsidRDefault="00C0663D">
      <w:pPr>
        <w:widowControl/>
        <w:spacing w:line="240" w:lineRule="auto"/>
        <w:jc w:val="left"/>
      </w:pPr>
    </w:p>
    <w:p w14:paraId="25286745" w14:textId="77777777" w:rsidR="00506887" w:rsidRDefault="00506887">
      <w:pPr>
        <w:widowControl/>
        <w:spacing w:line="240" w:lineRule="auto"/>
        <w:jc w:val="left"/>
      </w:pPr>
    </w:p>
    <w:p w14:paraId="38A8FCB1" w14:textId="77777777" w:rsidR="00506887" w:rsidRDefault="00506887">
      <w:pPr>
        <w:widowControl/>
        <w:spacing w:line="240" w:lineRule="auto"/>
        <w:jc w:val="left"/>
      </w:pPr>
    </w:p>
    <w:p w14:paraId="15007FBE" w14:textId="77777777" w:rsidR="00506887" w:rsidRDefault="00506887">
      <w:pPr>
        <w:widowControl/>
        <w:spacing w:line="240" w:lineRule="auto"/>
        <w:jc w:val="left"/>
      </w:pPr>
    </w:p>
    <w:p w14:paraId="59A177D7" w14:textId="77777777" w:rsidR="00BC33D2" w:rsidRDefault="00BC33D2">
      <w:pPr>
        <w:widowControl/>
        <w:spacing w:line="240" w:lineRule="auto"/>
        <w:jc w:val="left"/>
      </w:pPr>
    </w:p>
    <w:p w14:paraId="0AF0D7FC" w14:textId="77777777" w:rsidR="00BC33D2" w:rsidRDefault="00BC33D2">
      <w:pPr>
        <w:widowControl/>
        <w:spacing w:line="240" w:lineRule="auto"/>
        <w:jc w:val="left"/>
      </w:pPr>
    </w:p>
    <w:p w14:paraId="074BA886" w14:textId="77777777" w:rsidR="00BC33D2" w:rsidRDefault="00BC33D2">
      <w:pPr>
        <w:widowControl/>
        <w:spacing w:line="240" w:lineRule="auto"/>
        <w:jc w:val="left"/>
      </w:pPr>
    </w:p>
    <w:p w14:paraId="32E6061C" w14:textId="77777777" w:rsidR="00506887" w:rsidRDefault="00506887">
      <w:pPr>
        <w:widowControl/>
        <w:spacing w:line="240" w:lineRule="auto"/>
        <w:jc w:val="left"/>
      </w:pPr>
    </w:p>
    <w:p w14:paraId="7DBCF40D" w14:textId="77777777" w:rsidR="00506887" w:rsidRDefault="00506887">
      <w:pPr>
        <w:widowControl/>
        <w:spacing w:line="240" w:lineRule="auto"/>
        <w:jc w:val="left"/>
      </w:pPr>
    </w:p>
    <w:p w14:paraId="6DB64C15" w14:textId="77777777" w:rsidR="00506887" w:rsidRDefault="00506887">
      <w:pPr>
        <w:widowControl/>
        <w:spacing w:line="240" w:lineRule="auto"/>
        <w:jc w:val="left"/>
      </w:pPr>
    </w:p>
    <w:p w14:paraId="2B3F3FD5" w14:textId="1390F601" w:rsidR="00506887" w:rsidRDefault="00506887" w:rsidP="00506887">
      <w:pPr>
        <w:pStyle w:val="00"/>
        <w:jc w:val="right"/>
      </w:pPr>
      <w:r w:rsidRPr="00506887">
        <w:t>BeU Med medical experts</w:t>
      </w:r>
      <w:r w:rsidRPr="00506887">
        <w:rPr>
          <w:color w:val="FFFFFF" w:themeColor="background1"/>
        </w:rPr>
        <w:t>_______</w:t>
      </w:r>
      <w:r>
        <w:rPr>
          <w:color w:val="FFFFFF" w:themeColor="background1"/>
        </w:rPr>
        <w:t>.</w:t>
      </w:r>
      <w:r w:rsidRPr="00506887">
        <w:rPr>
          <w:color w:val="FFFFFF" w:themeColor="background1"/>
        </w:rPr>
        <w:t>_______________</w:t>
      </w:r>
    </w:p>
    <w:p w14:paraId="42308C49" w14:textId="6280C4FD" w:rsidR="00506887" w:rsidRPr="00506887" w:rsidRDefault="00506887" w:rsidP="00506887">
      <w:pPr>
        <w:pStyle w:val="0"/>
        <w:jc w:val="right"/>
        <w:rPr>
          <w:color w:val="FFFFFF" w:themeColor="background1"/>
        </w:rPr>
      </w:pPr>
      <w:r>
        <w:rPr>
          <w:rFonts w:hint="eastAsia"/>
        </w:rPr>
        <w:t xml:space="preserve">BeU Med </w:t>
      </w:r>
      <w:r>
        <w:rPr>
          <w:rFonts w:hint="eastAsia"/>
        </w:rPr>
        <w:t>医疗专家</w:t>
      </w:r>
      <w:r w:rsidRPr="00506887">
        <w:rPr>
          <w:color w:val="FFFFFF" w:themeColor="background1"/>
        </w:rPr>
        <w:t>:___________________</w:t>
      </w:r>
    </w:p>
    <w:p w14:paraId="73E3CA03" w14:textId="35C6BAFC" w:rsidR="00C0663D" w:rsidRDefault="00CB0FFA" w:rsidP="00BC33D2">
      <w:pPr>
        <w:widowControl/>
        <w:spacing w:line="240" w:lineRule="auto"/>
        <w:jc w:val="right"/>
      </w:pPr>
      <w:r>
        <w:rPr>
          <w:rFonts w:hint="eastAsia"/>
        </w:rPr>
        <w:t xml:space="preserve">      /    /    /</w:t>
      </w:r>
      <w:r w:rsidR="00C0663D">
        <w:br w:type="page"/>
      </w:r>
    </w:p>
    <w:p w14:paraId="753AAD91" w14:textId="1535CB46" w:rsidR="00C0663D" w:rsidRDefault="00C0663D" w:rsidP="00C0663D">
      <w:pPr>
        <w:pStyle w:val="3-"/>
      </w:pPr>
      <w:r>
        <w:rPr>
          <w:rFonts w:hint="eastAsia"/>
        </w:rPr>
        <w:lastRenderedPageBreak/>
        <w:t>Functional Medical Health Advice</w:t>
      </w:r>
      <w:r>
        <w:br/>
      </w:r>
      <w:r w:rsidRPr="00C0663D">
        <w:t>功能医学</w:t>
      </w:r>
      <w:r>
        <w:rPr>
          <w:rFonts w:hint="eastAsia"/>
        </w:rPr>
        <w:t>健康建议</w:t>
      </w:r>
    </w:p>
    <w:p w14:paraId="4B7E5EA0" w14:textId="77777777" w:rsidR="00C0663D" w:rsidRDefault="00C0663D" w:rsidP="00C0663D">
      <w:pPr>
        <w:pStyle w:val="0"/>
      </w:pPr>
    </w:p>
    <w:p w14:paraId="11108EEE" w14:textId="63E395E9" w:rsidR="00C2412F" w:rsidRDefault="00C2412F" w:rsidP="00C2412F">
      <w:pPr>
        <w:pStyle w:val="00"/>
      </w:pPr>
      <w:r w:rsidRPr="00C2412F">
        <w:t xml:space="preserve">Functional medicine goes beyond the diagnosis and medical treatment of diseases, placing greater emphasis on comprehensive health management for </w:t>
      </w:r>
      <w:proofErr w:type="gramStart"/>
      <w:r w:rsidRPr="00C2412F">
        <w:t>each individual</w:t>
      </w:r>
      <w:proofErr w:type="gramEnd"/>
      <w:r w:rsidRPr="00C2412F">
        <w:t>. Beyond the aforementioned “medical interventions,” the essence of functional medicine lies in addressing health at its root—improving lifestyle, optimizing body functions, and enhancing overall well-being. Through comprehensive evaluation across multiple dimensions—including metabolism, immunity, hormones, nutrition, emotional state, and daily habits—it enables the development of a personalized health optimization pathway for every client.</w:t>
      </w:r>
    </w:p>
    <w:p w14:paraId="57700454" w14:textId="501D59F3" w:rsidR="00C2412F" w:rsidRDefault="00C2412F" w:rsidP="00C2412F">
      <w:pPr>
        <w:pStyle w:val="0"/>
      </w:pPr>
      <w:r w:rsidRPr="00C2412F">
        <w:t>功能医学不仅仅停留在疾病的诊断与医学治疗，更强调对个体的全方位健康管理。</w:t>
      </w:r>
      <w:r>
        <w:rPr>
          <w:rFonts w:hint="eastAsia"/>
        </w:rPr>
        <w:t>在上述「</w:t>
      </w:r>
      <w:r w:rsidRPr="00C2412F">
        <w:t>医学干预</w:t>
      </w:r>
      <w:r>
        <w:rPr>
          <w:rFonts w:hint="eastAsia"/>
        </w:rPr>
        <w:t>」</w:t>
      </w:r>
      <w:r w:rsidRPr="00C2412F">
        <w:t>之外，功能医学的核心在于帮助人们从源头改善生活方式、优化身体功能与提升整体健康状态。通过对代谢、免疫、荷尔蒙、营养、情绪及生活习惯等多个维度的综合评估，可以为每一位客户量身定制个性化的健康提升路径。</w:t>
      </w:r>
    </w:p>
    <w:p w14:paraId="35923A8C" w14:textId="05F77C23" w:rsidR="00C2412F" w:rsidRDefault="00C2412F" w:rsidP="00C2412F">
      <w:pPr>
        <w:pStyle w:val="00"/>
      </w:pPr>
      <w:r w:rsidRPr="00C2412F">
        <w:t>Based on your test results and individual health status, the Be.U Med Functional Medicine Team provides you with scientific and actionable recommendations in the areas of nutrition adjustment, exercise prescription, sleep and stress management, and lifestyle optimization, with the aim of helping you achieve long-term health, chronic disease prevention, and overall mind-body balance.</w:t>
      </w:r>
    </w:p>
    <w:p w14:paraId="6044D5E2" w14:textId="2CFB08ED" w:rsidR="00C2412F" w:rsidRPr="00C2412F" w:rsidRDefault="00C2412F" w:rsidP="00C2412F">
      <w:pPr>
        <w:pStyle w:val="0"/>
      </w:pPr>
      <w:r w:rsidRPr="00C2412F">
        <w:t>基于</w:t>
      </w:r>
      <w:r>
        <w:rPr>
          <w:rFonts w:hint="eastAsia"/>
        </w:rPr>
        <w:t>您的</w:t>
      </w:r>
      <w:r w:rsidRPr="00C2412F">
        <w:rPr>
          <w:rFonts w:hint="eastAsia"/>
        </w:rPr>
        <w:t>检</w:t>
      </w:r>
      <w:r w:rsidRPr="00C2412F">
        <w:t>测结果与个人</w:t>
      </w:r>
      <w:r>
        <w:rPr>
          <w:rFonts w:hint="eastAsia"/>
        </w:rPr>
        <w:t>健康</w:t>
      </w:r>
      <w:r w:rsidRPr="00C2412F">
        <w:t>状况，</w:t>
      </w:r>
      <w:r w:rsidRPr="00C2412F">
        <w:t>Be.U Med</w:t>
      </w:r>
      <w:r w:rsidRPr="00C2412F">
        <w:t>功能医学团队从营养调节、运动处方、睡眠与压力管理、生活方式优化等方面</w:t>
      </w:r>
      <w:r>
        <w:rPr>
          <w:rFonts w:hint="eastAsia"/>
        </w:rPr>
        <w:t>，为您</w:t>
      </w:r>
      <w:r w:rsidRPr="00C2412F">
        <w:t>提出科学、可执行的健康建议，旨在帮助</w:t>
      </w:r>
      <w:r>
        <w:rPr>
          <w:rFonts w:hint="eastAsia"/>
        </w:rPr>
        <w:t>您</w:t>
      </w:r>
      <w:r w:rsidRPr="00C2412F">
        <w:t>实现真正的长期健康、慢病预防与身心平衡。</w:t>
      </w:r>
    </w:p>
    <w:p w14:paraId="3CB0E672" w14:textId="77777777" w:rsidR="00C2412F" w:rsidRPr="00C0663D" w:rsidRDefault="00C2412F" w:rsidP="00C0663D">
      <w:pPr>
        <w:pStyle w:val="0"/>
      </w:pPr>
    </w:p>
    <w:p w14:paraId="34778166" w14:textId="6535A38E" w:rsidR="00EC2CBF" w:rsidRDefault="00C0663D" w:rsidP="00EC2CBF">
      <w:pPr>
        <w:pStyle w:val="4-"/>
      </w:pPr>
      <w:r w:rsidRPr="00C0663D">
        <w:t xml:space="preserve">Nutrition </w:t>
      </w:r>
      <w:r>
        <w:rPr>
          <w:rFonts w:hint="eastAsia"/>
        </w:rPr>
        <w:t>I</w:t>
      </w:r>
      <w:r w:rsidRPr="00C0663D">
        <w:rPr>
          <w:rFonts w:hint="eastAsia"/>
        </w:rPr>
        <w:t>n</w:t>
      </w:r>
      <w:r w:rsidRPr="00C0663D">
        <w:t>tervention</w:t>
      </w:r>
      <w:r>
        <w:rPr>
          <w:rFonts w:hint="eastAsia"/>
        </w:rPr>
        <w:t xml:space="preserve"> </w:t>
      </w:r>
      <w:r>
        <w:t>营养干预</w:t>
      </w:r>
    </w:p>
    <w:p w14:paraId="557E9AB7" w14:textId="7299038D" w:rsidR="00EC2CBF" w:rsidRDefault="00EC2CBF" w:rsidP="00EC2CBF">
      <w:pPr>
        <w:pStyle w:val="00"/>
      </w:pPr>
      <w:r>
        <w:t>Nutrition is a cornerstone of functional medicine, directly influencing metabolic pathways, hormonal balance, cellular repair, and immune stability. Adequate and balanced nutrient intake not only corrects existing imbalances but also serves a preventive and regenerative role, helping maintain vitality and delaying age-related decline.</w:t>
      </w:r>
    </w:p>
    <w:p w14:paraId="3ACA994E" w14:textId="1B75C90D" w:rsidR="00EC2CBF" w:rsidRDefault="00EC2CBF" w:rsidP="00EC2CBF">
      <w:pPr>
        <w:pStyle w:val="0"/>
      </w:pPr>
      <w:r>
        <w:t>营养是功能医学的核心，它直接影响代谢途径、荷尔蒙平衡、细胞修复及免疫稳态。合理而充足的营养摄入，不仅能纠正已存在的不平衡，还能发挥预防和再生作用，帮助维持活力并延缓衰老过程。</w:t>
      </w:r>
    </w:p>
    <w:p w14:paraId="7908F1D7" w14:textId="20BA059B" w:rsidR="00EC2CBF" w:rsidRDefault="00EC2CBF" w:rsidP="00EC2CBF">
      <w:pPr>
        <w:pStyle w:val="00"/>
      </w:pPr>
      <w:r>
        <w:t>Current test results suggest that certain abnormalities—including subtle red blood cell changes, low progesterone and IGF-1, and evidence of gastric infection—may be associated with insufficient intake or imbalance of key nutrients. This indicates the need for strengthening micronutrient support, ensuring adequate protein and healthy fats, and enhancing gastrointestinal protection.</w:t>
      </w:r>
    </w:p>
    <w:p w14:paraId="38DF511A" w14:textId="6732BE43" w:rsidR="00EC2CBF" w:rsidRDefault="00EC2CBF" w:rsidP="00EC2CBF">
      <w:pPr>
        <w:pStyle w:val="0"/>
      </w:pPr>
      <w:r>
        <w:t>目前的检测结果提示，部分指标异常（如红细胞参数轻微异常、黄体酮和</w:t>
      </w:r>
      <w:r>
        <w:t>IGF-1</w:t>
      </w:r>
      <w:r>
        <w:t>偏低、胃部感染迹象）可能与营养摄入不足或不均衡相关。这说明有必要加强微量营养素补充，确保优质蛋白与健康脂肪的摄入，同时强化胃肠道的营养保护。</w:t>
      </w:r>
    </w:p>
    <w:p w14:paraId="40A95323" w14:textId="50AA5CC8" w:rsidR="00EC2CBF" w:rsidRDefault="00EC2CBF" w:rsidP="00EC2CBF">
      <w:pPr>
        <w:pStyle w:val="00"/>
      </w:pPr>
      <w:r w:rsidRPr="00EC2CBF">
        <w:t>Recommended strategies include:</w:t>
      </w:r>
    </w:p>
    <w:p w14:paraId="13604D22" w14:textId="7D9F8BFA" w:rsidR="00EC2CBF" w:rsidRDefault="00EC2CBF" w:rsidP="00EC2CBF">
      <w:pPr>
        <w:pStyle w:val="0"/>
      </w:pPr>
      <w:r w:rsidRPr="00EC2CBF">
        <w:t>建议措施包括：</w:t>
      </w:r>
    </w:p>
    <w:p w14:paraId="374E13FE" w14:textId="598A8072" w:rsidR="00EC2CBF" w:rsidRDefault="00EC2CBF" w:rsidP="00EC2CBF">
      <w:pPr>
        <w:pStyle w:val="00"/>
        <w:numPr>
          <w:ilvl w:val="0"/>
          <w:numId w:val="4"/>
        </w:numPr>
      </w:pPr>
      <w:r>
        <w:lastRenderedPageBreak/>
        <w:t>Supplementation of B vitamins, folate, and iron to support hematopoiesis.</w:t>
      </w:r>
    </w:p>
    <w:p w14:paraId="1DB6F4E0" w14:textId="64CA7923" w:rsidR="00EC2CBF" w:rsidRDefault="00EC2CBF" w:rsidP="00EC2CBF">
      <w:pPr>
        <w:pStyle w:val="0"/>
        <w:numPr>
          <w:ilvl w:val="0"/>
          <w:numId w:val="4"/>
        </w:numPr>
      </w:pPr>
      <w:r>
        <w:t>补充维生素</w:t>
      </w:r>
      <w:r>
        <w:t>B</w:t>
      </w:r>
      <w:r>
        <w:t>族、叶酸和铁，以支持造血功能；</w:t>
      </w:r>
    </w:p>
    <w:p w14:paraId="48247CC5" w14:textId="316E8582" w:rsidR="00EC2CBF" w:rsidRDefault="00EC2CBF" w:rsidP="00EC2CBF">
      <w:pPr>
        <w:pStyle w:val="00"/>
        <w:numPr>
          <w:ilvl w:val="0"/>
          <w:numId w:val="4"/>
        </w:numPr>
      </w:pPr>
      <w:r>
        <w:t>Adequate protein and healthy fats (zinc, selenium, magnesium as cofactors) to support hormonal balance.</w:t>
      </w:r>
    </w:p>
    <w:p w14:paraId="2CFEEC2C" w14:textId="0FFD9396" w:rsidR="00EC2CBF" w:rsidRDefault="00EC2CBF" w:rsidP="00EC2CBF">
      <w:pPr>
        <w:pStyle w:val="0"/>
        <w:numPr>
          <w:ilvl w:val="0"/>
          <w:numId w:val="4"/>
        </w:numPr>
      </w:pPr>
      <w:r w:rsidRPr="00EC2CBF">
        <w:t>摄入足够的优质蛋白和健康脂肪（并配合锌、硒、镁等辅因子），以维持荷尔蒙平衡；</w:t>
      </w:r>
    </w:p>
    <w:p w14:paraId="2DCE2E58" w14:textId="3AD35C58" w:rsidR="00EC2CBF" w:rsidRDefault="00EC2CBF" w:rsidP="00EC2CBF">
      <w:pPr>
        <w:pStyle w:val="00"/>
        <w:numPr>
          <w:ilvl w:val="0"/>
          <w:numId w:val="4"/>
        </w:numPr>
      </w:pPr>
      <w:r>
        <w:t>Probiotics, antioxidants, and anti-inflammatory nutrients (omega-3, vitamins C/E, polyphenols) to reduce inflammation and protect gut health.</w:t>
      </w:r>
    </w:p>
    <w:p w14:paraId="2E1F9F02" w14:textId="470D2D04" w:rsidR="006E104D" w:rsidRDefault="00EC2CBF" w:rsidP="00EC2CBF">
      <w:pPr>
        <w:pStyle w:val="0"/>
        <w:numPr>
          <w:ilvl w:val="0"/>
          <w:numId w:val="4"/>
        </w:numPr>
      </w:pPr>
      <w:r w:rsidRPr="00EC2CBF">
        <w:t>用益生菌、抗氧化与抗炎营养素（如</w:t>
      </w:r>
      <w:r w:rsidRPr="00EC2CBF">
        <w:t>ω-3</w:t>
      </w:r>
      <w:r w:rsidRPr="00EC2CBF">
        <w:t>、维生素</w:t>
      </w:r>
      <w:r w:rsidRPr="00EC2CBF">
        <w:t>C/E</w:t>
      </w:r>
      <w:r w:rsidRPr="00EC2CBF">
        <w:t>、多酚类）降低炎症保护肠道健康。</w:t>
      </w:r>
    </w:p>
    <w:p w14:paraId="78A069C0" w14:textId="433A496C" w:rsidR="00EC2CBF" w:rsidRDefault="00EC2CBF" w:rsidP="00EC2CBF">
      <w:pPr>
        <w:pStyle w:val="00"/>
      </w:pPr>
      <w:r>
        <w:t>By correcting subtle imbalances and reinforcing key nutritional pathways, systemic oxygen delivery, hormonal balance, and immune regulation can be improved. Such optimization reduces long-term vulnerability to chronic disease, supports healthy aging, and enhances resilience against metabolic and inflammatory stressors.</w:t>
      </w:r>
    </w:p>
    <w:p w14:paraId="58B22053" w14:textId="3D05E808" w:rsidR="00EC2CBF" w:rsidRDefault="00EC2CBF" w:rsidP="006E104D">
      <w:pPr>
        <w:pStyle w:val="0"/>
      </w:pPr>
      <w:r>
        <w:t>通过纠正潜在的不平衡并强化关键营养途径，可以改善全身氧供、荷尔蒙平衡与免疫调节。这种优化能够降低慢性疾病的长期风险，支持健康老化，并提升机体对代谢与炎症压力的抵抗力。</w:t>
      </w:r>
    </w:p>
    <w:p w14:paraId="6680545E" w14:textId="77777777" w:rsidR="00EC2CBF" w:rsidRPr="00C0663D" w:rsidRDefault="00EC2CBF" w:rsidP="00EC2CBF">
      <w:pPr>
        <w:pStyle w:val="00"/>
      </w:pPr>
    </w:p>
    <w:p w14:paraId="1483315E" w14:textId="655B6841" w:rsidR="00C0663D" w:rsidRDefault="00C0663D" w:rsidP="00C0663D">
      <w:pPr>
        <w:pStyle w:val="4-"/>
      </w:pPr>
      <w:r w:rsidRPr="00C0663D">
        <w:t xml:space="preserve">Exercise </w:t>
      </w:r>
      <w:r>
        <w:rPr>
          <w:rFonts w:hint="eastAsia"/>
        </w:rPr>
        <w:t>I</w:t>
      </w:r>
      <w:r w:rsidRPr="00C0663D">
        <w:t>ntervention</w:t>
      </w:r>
      <w:r>
        <w:rPr>
          <w:rFonts w:hint="eastAsia"/>
        </w:rPr>
        <w:t xml:space="preserve"> </w:t>
      </w:r>
      <w:r>
        <w:t>运动干预</w:t>
      </w:r>
    </w:p>
    <w:p w14:paraId="7677C382" w14:textId="0C72B736" w:rsidR="0089273A" w:rsidRDefault="0089273A" w:rsidP="0089273A">
      <w:pPr>
        <w:pStyle w:val="00"/>
      </w:pPr>
      <w:r>
        <w:t>Exercise is a fundamental pillar of functional medicine, as it influences cardiovascular fitness, metabolic regulation, hormonal balance, and psychological well-being. Regular and structured physical activity helps improve cellular energy metabolism, enhances insulin sensitivity, and reduces chronic inflammation, thereby promoting overall resilience and longevity.</w:t>
      </w:r>
    </w:p>
    <w:p w14:paraId="6A70A666" w14:textId="6B945B45" w:rsidR="00C0663D" w:rsidRDefault="0089273A" w:rsidP="0089273A">
      <w:pPr>
        <w:pStyle w:val="0"/>
      </w:pPr>
      <w:r>
        <w:t>运动是功能医学的重要支柱，它直接影响心血管健康、代谢调节、荷尔蒙平衡以及心理健康。规律且有结构的运动不仅能改善细胞能量代谢、提高胰岛素敏感性，还能降低慢性炎症，从而增强机体整体韧性并延缓衰老。</w:t>
      </w:r>
    </w:p>
    <w:p w14:paraId="72C9252B" w14:textId="3386F919" w:rsidR="0089273A" w:rsidRDefault="0089273A" w:rsidP="0089273A">
      <w:pPr>
        <w:pStyle w:val="00"/>
      </w:pPr>
      <w:r>
        <w:t>The laboratory results indicate mild hormonal insufficiency (low progesterone, low IGF-1), evidence of low-grade inflammation (elevated ESR), and possible immune activation. These findings suggest the need for exercise interventions that promote anabolic balance, reduce inflammation, and support immune regulation.</w:t>
      </w:r>
    </w:p>
    <w:p w14:paraId="3A11C03E" w14:textId="29A3CAC6" w:rsidR="00C0663D" w:rsidRDefault="0089273A" w:rsidP="0089273A">
      <w:pPr>
        <w:pStyle w:val="0"/>
      </w:pPr>
      <w:r>
        <w:t>检测结果提示存在轻度荷尔蒙不足（黄体酮与</w:t>
      </w:r>
      <w:r>
        <w:t>IGF-1</w:t>
      </w:r>
      <w:r>
        <w:t>偏低）、低度炎症（</w:t>
      </w:r>
      <w:r>
        <w:t>ESR</w:t>
      </w:r>
      <w:r>
        <w:t>升高）以及可能的免疫激活。这说明运动干预应以促进合成代谢、降低炎症及支持免疫调节为目标。</w:t>
      </w:r>
    </w:p>
    <w:p w14:paraId="1E2DEBB0" w14:textId="77777777" w:rsidR="0089273A" w:rsidRDefault="0089273A" w:rsidP="0089273A">
      <w:pPr>
        <w:pStyle w:val="00"/>
      </w:pPr>
      <w:r w:rsidRPr="00EC2CBF">
        <w:t>Recommended strategies include:</w:t>
      </w:r>
    </w:p>
    <w:p w14:paraId="62B77A34" w14:textId="77777777" w:rsidR="0089273A" w:rsidRDefault="0089273A" w:rsidP="0089273A">
      <w:pPr>
        <w:pStyle w:val="0"/>
      </w:pPr>
      <w:r w:rsidRPr="00EC2CBF">
        <w:t>建议措施包括：</w:t>
      </w:r>
    </w:p>
    <w:p w14:paraId="33D810BB" w14:textId="02B26C9F" w:rsidR="0089273A" w:rsidRDefault="0089273A" w:rsidP="0089273A">
      <w:pPr>
        <w:pStyle w:val="00"/>
        <w:numPr>
          <w:ilvl w:val="0"/>
          <w:numId w:val="4"/>
        </w:numPr>
      </w:pPr>
      <w:r>
        <w:t>Moderate-intensity aerobic exercise (e.g., brisk walking, cycling, swimming, 150 minutes/week) to improve cardiovascular health and reduce systemic inflammation.</w:t>
      </w:r>
    </w:p>
    <w:p w14:paraId="0306A8BC" w14:textId="42557F49" w:rsidR="0089273A" w:rsidRDefault="0089273A" w:rsidP="0089273A">
      <w:pPr>
        <w:pStyle w:val="0"/>
        <w:numPr>
          <w:ilvl w:val="0"/>
          <w:numId w:val="4"/>
        </w:numPr>
      </w:pPr>
      <w:r>
        <w:t>适度有氧运动（如快走、骑行、游泳，每周</w:t>
      </w:r>
      <w:r>
        <w:t>150</w:t>
      </w:r>
      <w:r>
        <w:t>分钟），改善心血管功能并降低全身炎症；</w:t>
      </w:r>
    </w:p>
    <w:p w14:paraId="3183DCC2" w14:textId="5AF8EE99" w:rsidR="0089273A" w:rsidRDefault="0089273A" w:rsidP="0089273A">
      <w:pPr>
        <w:pStyle w:val="00"/>
        <w:numPr>
          <w:ilvl w:val="0"/>
          <w:numId w:val="4"/>
        </w:numPr>
      </w:pPr>
      <w:r w:rsidRPr="0089273A">
        <w:t>Resistance and strength training (2–3 times/week) to enhance IGF-1 activity, maintain muscle mass, and support hormonal balance.</w:t>
      </w:r>
    </w:p>
    <w:p w14:paraId="2AB8DB9E" w14:textId="442DBBD4" w:rsidR="0089273A" w:rsidRDefault="0089273A" w:rsidP="0089273A">
      <w:pPr>
        <w:pStyle w:val="0"/>
        <w:numPr>
          <w:ilvl w:val="0"/>
          <w:numId w:val="4"/>
        </w:numPr>
      </w:pPr>
      <w:r w:rsidRPr="0089273A">
        <w:t>阻力与力量训练（每周</w:t>
      </w:r>
      <w:r w:rsidRPr="0089273A">
        <w:t>2–3</w:t>
      </w:r>
      <w:r w:rsidRPr="0089273A">
        <w:t>次），以增强</w:t>
      </w:r>
      <w:r w:rsidRPr="0089273A">
        <w:t>IGF-1</w:t>
      </w:r>
      <w:r w:rsidRPr="0089273A">
        <w:t>活性、维持肌肉质量并促进荷尔蒙平衡</w:t>
      </w:r>
      <w:r w:rsidRPr="00EC2CBF">
        <w:t>；</w:t>
      </w:r>
    </w:p>
    <w:p w14:paraId="10CDFE6A" w14:textId="402D26CA" w:rsidR="0089273A" w:rsidRDefault="0089273A" w:rsidP="0089273A">
      <w:pPr>
        <w:pStyle w:val="00"/>
        <w:numPr>
          <w:ilvl w:val="0"/>
          <w:numId w:val="4"/>
        </w:numPr>
      </w:pPr>
      <w:r w:rsidRPr="0089273A">
        <w:t>Mind-body practices (such as yoga, Pilates, or tai chi) to reduce stress hormones, improve flexibility, and support immune homeostasis</w:t>
      </w:r>
      <w:r>
        <w:t>.</w:t>
      </w:r>
    </w:p>
    <w:p w14:paraId="49A5DCF5" w14:textId="5FD13012" w:rsidR="0089273A" w:rsidRDefault="0089273A" w:rsidP="0089273A">
      <w:pPr>
        <w:pStyle w:val="0"/>
        <w:numPr>
          <w:ilvl w:val="0"/>
          <w:numId w:val="4"/>
        </w:numPr>
      </w:pPr>
      <w:r w:rsidRPr="0089273A">
        <w:t>身心结合练习（如瑜伽、普拉提、太极），降低压力荷尔蒙、改善柔韧性并维持免疫稳态</w:t>
      </w:r>
      <w:r w:rsidRPr="00EC2CBF">
        <w:t>。</w:t>
      </w:r>
    </w:p>
    <w:p w14:paraId="57ACB637" w14:textId="5611DC65" w:rsidR="00862CAD" w:rsidRDefault="00862CAD" w:rsidP="00862CAD">
      <w:pPr>
        <w:pStyle w:val="00"/>
      </w:pPr>
      <w:r>
        <w:lastRenderedPageBreak/>
        <w:t>By integrating these exercise strategies, patients can improve energy metabolism, optimize hormonal and immune responses, and strengthen both physical and psychological resilience. Exercise thus becomes not only a preventive measure against chronic disease but also a therapeutic tool to restore functional balance and enhance quality of life.</w:t>
      </w:r>
    </w:p>
    <w:p w14:paraId="4D37831D" w14:textId="1281E4F4" w:rsidR="0089273A" w:rsidRDefault="00862CAD" w:rsidP="0089273A">
      <w:pPr>
        <w:pStyle w:val="0"/>
      </w:pPr>
      <w:r>
        <w:t>通过整合上述运动策略，</w:t>
      </w:r>
      <w:r w:rsidR="00A271FC">
        <w:rPr>
          <w:rFonts w:hint="eastAsia"/>
        </w:rPr>
        <w:t>您</w:t>
      </w:r>
      <w:r>
        <w:t>可改善能量代谢，优化荷尔蒙及免疫反应，并同时增强身心韧性。运动因此不仅是一种慢病预防手段，更是恢复功能平衡与提升生活质量的重要工具。</w:t>
      </w:r>
    </w:p>
    <w:p w14:paraId="2B6A7546" w14:textId="77777777" w:rsidR="00C0663D" w:rsidRPr="00C0663D" w:rsidRDefault="00C0663D" w:rsidP="00C0663D">
      <w:pPr>
        <w:pStyle w:val="0"/>
      </w:pPr>
    </w:p>
    <w:p w14:paraId="75C148D1" w14:textId="7EBB807E" w:rsidR="00C0663D" w:rsidRDefault="00C0663D" w:rsidP="00C0663D">
      <w:pPr>
        <w:pStyle w:val="4-"/>
      </w:pPr>
      <w:r w:rsidRPr="00C0663D">
        <w:t xml:space="preserve">Sleep </w:t>
      </w:r>
      <w:r>
        <w:rPr>
          <w:rFonts w:hint="eastAsia"/>
        </w:rPr>
        <w:t>&amp; S</w:t>
      </w:r>
      <w:r w:rsidRPr="00C0663D">
        <w:t xml:space="preserve">tress </w:t>
      </w:r>
      <w:r>
        <w:rPr>
          <w:rFonts w:hint="eastAsia"/>
        </w:rPr>
        <w:t>M</w:t>
      </w:r>
      <w:r w:rsidRPr="00C0663D">
        <w:t>anagement</w:t>
      </w:r>
      <w:r>
        <w:rPr>
          <w:rFonts w:hint="eastAsia"/>
        </w:rPr>
        <w:t xml:space="preserve"> </w:t>
      </w:r>
      <w:r>
        <w:t>睡眠与压力管理</w:t>
      </w:r>
    </w:p>
    <w:p w14:paraId="359FAB7F" w14:textId="25B99AD9" w:rsidR="00A43119" w:rsidRDefault="00A43119" w:rsidP="00A43119">
      <w:pPr>
        <w:pStyle w:val="00"/>
      </w:pPr>
      <w:r>
        <w:t>Sleep and stress regulation are central components of functional medicine, as both significantly affect hormonal rhythms, immune balance, metabolic health, and cognitive performance. Adequate restorative sleep promotes cellular repair, while effective stress management reduces cortisol overload and prevents chronic inflammation, contributing to long-term health and vitality.</w:t>
      </w:r>
    </w:p>
    <w:p w14:paraId="4D3D601E" w14:textId="35048435" w:rsidR="00C0663D" w:rsidRPr="00A43119" w:rsidRDefault="00A43119" w:rsidP="00C0663D">
      <w:pPr>
        <w:pStyle w:val="0"/>
      </w:pPr>
      <w:r>
        <w:t>睡眠与压力管理是功能医学的重要组成部分，它们深刻影响着荷尔蒙节律、免疫平衡、代谢健康和认知表现。充足而高质量的睡眠有助于细胞修复，而有效的压力管理能够减少皮质醇过度分泌并预防慢性炎症，从而促进长期健康与活力。</w:t>
      </w:r>
    </w:p>
    <w:p w14:paraId="2ADE79ED" w14:textId="06CDC9D1" w:rsidR="00A43119" w:rsidRDefault="00A43119" w:rsidP="00A43119">
      <w:pPr>
        <w:pStyle w:val="00"/>
      </w:pPr>
      <w:r>
        <w:t>Laboratory results indicate a mildly elevated ESR (reflecting low-grade inflammation), relatively low progesterone and IGF-1 levels, and a positive ANA suggesting immune activation. These findings often correlate with chronic stress, inadequate restorative sleep, and dysregulated circadian rhythms.</w:t>
      </w:r>
    </w:p>
    <w:p w14:paraId="3D335F82" w14:textId="33F834BE" w:rsidR="00A43119" w:rsidRPr="00A43119" w:rsidRDefault="00A43119" w:rsidP="00A43119">
      <w:pPr>
        <w:pStyle w:val="0"/>
      </w:pPr>
      <w:r>
        <w:t>检测结果显示</w:t>
      </w:r>
      <w:r>
        <w:t>ESR</w:t>
      </w:r>
      <w:r>
        <w:t>轻度升高（提示低度炎症）、黄体酮与</w:t>
      </w:r>
      <w:r>
        <w:t>IGF-1</w:t>
      </w:r>
      <w:r>
        <w:t>水平偏低，以及</w:t>
      </w:r>
      <w:r>
        <w:t>ANA</w:t>
      </w:r>
      <w:r>
        <w:t>阳性提示免疫激活。这些情况往往与慢性压力、睡眠修复不足及昼夜节律紊乱相关。</w:t>
      </w:r>
    </w:p>
    <w:p w14:paraId="5EFE7D33" w14:textId="77777777" w:rsidR="00A43119" w:rsidRDefault="00A43119" w:rsidP="00A43119">
      <w:pPr>
        <w:pStyle w:val="00"/>
      </w:pPr>
      <w:r w:rsidRPr="00EC2CBF">
        <w:t>Recommended strategies include:</w:t>
      </w:r>
    </w:p>
    <w:p w14:paraId="6415F646" w14:textId="77777777" w:rsidR="00A43119" w:rsidRDefault="00A43119" w:rsidP="00A43119">
      <w:pPr>
        <w:pStyle w:val="0"/>
      </w:pPr>
      <w:r w:rsidRPr="00EC2CBF">
        <w:t>建议措施包括：</w:t>
      </w:r>
    </w:p>
    <w:p w14:paraId="3995D916" w14:textId="3CBE33B0" w:rsidR="00A43119" w:rsidRDefault="00A43119" w:rsidP="00A43119">
      <w:pPr>
        <w:pStyle w:val="00"/>
        <w:numPr>
          <w:ilvl w:val="0"/>
          <w:numId w:val="4"/>
        </w:numPr>
      </w:pPr>
      <w:r>
        <w:t>Establishing consistent sleep routines, with 7–8 hours of restorative sleep per night, supported by sleep hygiene measures (dark, quiet environment, digital detox before bedtime).</w:t>
      </w:r>
    </w:p>
    <w:p w14:paraId="44B5EBEC" w14:textId="1A6E55BA" w:rsidR="00A43119" w:rsidRDefault="00A43119" w:rsidP="00A43119">
      <w:pPr>
        <w:pStyle w:val="0"/>
        <w:numPr>
          <w:ilvl w:val="0"/>
          <w:numId w:val="4"/>
        </w:numPr>
      </w:pPr>
      <w:r w:rsidRPr="00A43119">
        <w:t>建立规律的睡眠习惯，每晚保持</w:t>
      </w:r>
      <w:r w:rsidRPr="00A43119">
        <w:t>7–8</w:t>
      </w:r>
      <w:r w:rsidRPr="00A43119">
        <w:t>小时的高质量睡眠，并通过睡眠卫生管理（如黑暗安静的环境、睡前减少电子产品使用）来支持睡眠</w:t>
      </w:r>
      <w:r>
        <w:t>；</w:t>
      </w:r>
    </w:p>
    <w:p w14:paraId="122888CA" w14:textId="604A2E2F" w:rsidR="00A43119" w:rsidRDefault="00A43119" w:rsidP="00A43119">
      <w:pPr>
        <w:pStyle w:val="00"/>
        <w:numPr>
          <w:ilvl w:val="0"/>
          <w:numId w:val="4"/>
        </w:numPr>
      </w:pPr>
      <w:r w:rsidRPr="00A43119">
        <w:t>Incorporating relaxation techniques such as meditation, deep breathing, or mindfulness to modulate cortisol and improve parasympathetic tone</w:t>
      </w:r>
      <w:r w:rsidRPr="0089273A">
        <w:t>.</w:t>
      </w:r>
    </w:p>
    <w:p w14:paraId="38146EDF" w14:textId="3E9B1CBE" w:rsidR="00A43119" w:rsidRDefault="00A43119" w:rsidP="00A43119">
      <w:pPr>
        <w:pStyle w:val="0"/>
        <w:numPr>
          <w:ilvl w:val="0"/>
          <w:numId w:val="4"/>
        </w:numPr>
      </w:pPr>
      <w:r w:rsidRPr="00A43119">
        <w:t>采用放松训练，如冥想、深呼吸或正念练习，以调节皮质醇水平并提升副交感神经活性</w:t>
      </w:r>
      <w:r w:rsidRPr="00EC2CBF">
        <w:t>；</w:t>
      </w:r>
    </w:p>
    <w:p w14:paraId="02EE316A" w14:textId="454941AD" w:rsidR="00A43119" w:rsidRDefault="00A43119" w:rsidP="00A43119">
      <w:pPr>
        <w:pStyle w:val="00"/>
        <w:numPr>
          <w:ilvl w:val="0"/>
          <w:numId w:val="4"/>
        </w:numPr>
      </w:pPr>
      <w:r w:rsidRPr="00A43119">
        <w:t>Using adaptogenic support (ashwagandha, rhodiola, or L-theanine) when clinically appropriate, to enhance resilience against stress-induced hormonal fluctuations</w:t>
      </w:r>
      <w:r>
        <w:t>.</w:t>
      </w:r>
    </w:p>
    <w:p w14:paraId="06EA5F2B" w14:textId="3CBE90AD" w:rsidR="00A43119" w:rsidRDefault="00A43119" w:rsidP="00A43119">
      <w:pPr>
        <w:pStyle w:val="0"/>
        <w:numPr>
          <w:ilvl w:val="0"/>
          <w:numId w:val="4"/>
        </w:numPr>
      </w:pPr>
      <w:r w:rsidRPr="00A43119">
        <w:t>在适当情况下，可使用适应原支持（如印度人参、红景天或茶氨酸），以增强机体对压力相关荷尔蒙波动的适应力</w:t>
      </w:r>
      <w:r w:rsidRPr="00EC2CBF">
        <w:t>。</w:t>
      </w:r>
    </w:p>
    <w:p w14:paraId="23827CEA" w14:textId="58E022DA" w:rsidR="00A43119" w:rsidRDefault="00A43119" w:rsidP="00A43119">
      <w:pPr>
        <w:pStyle w:val="00"/>
      </w:pPr>
      <w:r>
        <w:t>Optimizing sleep and stress responses contributes to stable hormonal regulation, improved immune resilience, and enhanced metabolic balance. In functional medicine, sleep and stress are not considered passive states but active therapeutic tools that promote recovery, decelerate biological aging, and strengthen systemic health.</w:t>
      </w:r>
    </w:p>
    <w:p w14:paraId="0831ED6A" w14:textId="5FFEE0F8" w:rsidR="00A43119" w:rsidRDefault="00A43119" w:rsidP="00A43119">
      <w:pPr>
        <w:pStyle w:val="0"/>
      </w:pPr>
      <w:r>
        <w:t>优化睡眠与压力调节能够促进荷尔蒙稳态、增强免疫韧性并改善代谢平衡。在功能医学的视角下，睡眠与压力并非被动状态，而是积极的干预手段，能够促进康复、延缓生物学衰老并增强整体健康。</w:t>
      </w:r>
    </w:p>
    <w:p w14:paraId="5F1623A6" w14:textId="77777777" w:rsidR="00A43119" w:rsidRDefault="00A43119" w:rsidP="00A43119">
      <w:pPr>
        <w:pStyle w:val="0"/>
      </w:pPr>
    </w:p>
    <w:p w14:paraId="6AEE106E" w14:textId="7A3D5DC7" w:rsidR="00C0663D" w:rsidRDefault="00C0663D" w:rsidP="00C0663D">
      <w:pPr>
        <w:pStyle w:val="4-"/>
      </w:pPr>
      <w:r w:rsidRPr="00C0663D">
        <w:t xml:space="preserve">Lifestyle </w:t>
      </w:r>
      <w:r>
        <w:rPr>
          <w:rFonts w:hint="eastAsia"/>
        </w:rPr>
        <w:t>A</w:t>
      </w:r>
      <w:r w:rsidRPr="00C0663D">
        <w:t>djustment</w:t>
      </w:r>
      <w:r>
        <w:rPr>
          <w:rFonts w:hint="eastAsia"/>
        </w:rPr>
        <w:t xml:space="preserve"> </w:t>
      </w:r>
      <w:r>
        <w:t>生活方式调整</w:t>
      </w:r>
    </w:p>
    <w:p w14:paraId="5FFD9874" w14:textId="59859431" w:rsidR="00F673D4" w:rsidRDefault="00F673D4" w:rsidP="00F673D4">
      <w:pPr>
        <w:pStyle w:val="00"/>
      </w:pPr>
      <w:r>
        <w:t>Lifestyle habits—including diet quality, physical activity, stress coping behaviors, and environmental exposures—form the foundation of long-term health outcomes. Functional medicine views lifestyle optimization as an indispensable tool to reduce disease risk, support cellular health, and enhance quality of life. Small but consistent lifestyle modifications can accumulate into significant physiological improvements over time.</w:t>
      </w:r>
    </w:p>
    <w:p w14:paraId="4D959122" w14:textId="1ECE7DB9" w:rsidR="00C0663D" w:rsidRDefault="00F673D4" w:rsidP="00F673D4">
      <w:pPr>
        <w:pStyle w:val="0"/>
      </w:pPr>
      <w:r>
        <w:t>生活方式习惯</w:t>
      </w:r>
      <w:r>
        <w:t>——</w:t>
      </w:r>
      <w:r>
        <w:t>包括饮食质量、运动活动、压力应对方式以及环境暴露</w:t>
      </w:r>
      <w:r>
        <w:t>——</w:t>
      </w:r>
      <w:r>
        <w:t>决定了长期健康的基础。功能医学将生活方式优化视为降低疾病风险、支持细胞健康和提升生活质量的关键手段。微小但持续的调整，长期累积会带来显著的生理改善。</w:t>
      </w:r>
    </w:p>
    <w:p w14:paraId="041D3515" w14:textId="49BF5A5D" w:rsidR="00F673D4" w:rsidRDefault="00F673D4" w:rsidP="00F673D4">
      <w:pPr>
        <w:pStyle w:val="00"/>
      </w:pPr>
      <w:r>
        <w:t>The presence of low-grade inflammation (elevated ESR), immune activation (positive ANA), and evidence of gastric infection (H. pylori IgG positivity) highlights the need for careful lifestyle management. These findings suggest that improvements in dietary behavior, stress resilience, and toxin reduction can provide meaningful benefits to systemic health.</w:t>
      </w:r>
    </w:p>
    <w:p w14:paraId="233147BF" w14:textId="6F8A2A36" w:rsidR="00C0663D" w:rsidRDefault="00F673D4" w:rsidP="00F673D4">
      <w:pPr>
        <w:pStyle w:val="0"/>
      </w:pPr>
      <w:r>
        <w:t>检测结果提示存在低度炎症（</w:t>
      </w:r>
      <w:r>
        <w:t>ESR</w:t>
      </w:r>
      <w:r>
        <w:t>升高）、免疫激活（</w:t>
      </w:r>
      <w:r>
        <w:t>ANA</w:t>
      </w:r>
      <w:r>
        <w:t>阳性）以及胃部感染迹象（幽门螺杆菌抗体阳性），这表明在生活方式方面需要特别关注。通过改善饮食习惯、增强抗压能力、减少有害暴露，可以对全身健康带来积极作用。</w:t>
      </w:r>
    </w:p>
    <w:p w14:paraId="56173FFB" w14:textId="77777777" w:rsidR="00F673D4" w:rsidRDefault="00F673D4" w:rsidP="00F673D4">
      <w:pPr>
        <w:pStyle w:val="00"/>
      </w:pPr>
      <w:r w:rsidRPr="00EC2CBF">
        <w:t>Recommended strategies include:</w:t>
      </w:r>
    </w:p>
    <w:p w14:paraId="54FE591F" w14:textId="77777777" w:rsidR="00F673D4" w:rsidRDefault="00F673D4" w:rsidP="00F673D4">
      <w:pPr>
        <w:pStyle w:val="0"/>
      </w:pPr>
      <w:r w:rsidRPr="00EC2CBF">
        <w:t>建议措施包括：</w:t>
      </w:r>
    </w:p>
    <w:p w14:paraId="3CADEB67" w14:textId="0BB285F2" w:rsidR="00F673D4" w:rsidRDefault="00F673D4" w:rsidP="00F673D4">
      <w:pPr>
        <w:pStyle w:val="00"/>
        <w:numPr>
          <w:ilvl w:val="0"/>
          <w:numId w:val="4"/>
        </w:numPr>
      </w:pPr>
      <w:r>
        <w:t>Prioritize a balanced dietary pattern emphasizing whole foods, plant-based diversity, and reduced processed or pro-inflammatory foods.</w:t>
      </w:r>
    </w:p>
    <w:p w14:paraId="772CB2E5" w14:textId="7B49B13E" w:rsidR="00F673D4" w:rsidRDefault="00F673D4" w:rsidP="00F673D4">
      <w:pPr>
        <w:pStyle w:val="0"/>
        <w:numPr>
          <w:ilvl w:val="0"/>
          <w:numId w:val="4"/>
        </w:numPr>
      </w:pPr>
      <w:r>
        <w:t>优先采用均衡饮食模式，强调全食物、多样化植物摄入，并减少加工食品和促炎食物；</w:t>
      </w:r>
    </w:p>
    <w:p w14:paraId="08D7EB4A" w14:textId="5135C3E4" w:rsidR="00F673D4" w:rsidRDefault="00F673D4" w:rsidP="00F673D4">
      <w:pPr>
        <w:pStyle w:val="00"/>
        <w:numPr>
          <w:ilvl w:val="0"/>
          <w:numId w:val="4"/>
        </w:numPr>
      </w:pPr>
      <w:r w:rsidRPr="00F673D4">
        <w:t>Limit alcohol, smoking, and excessive caffeine, which may exacerbate immune activation and gastric irritation</w:t>
      </w:r>
      <w:r w:rsidRPr="0089273A">
        <w:t>.</w:t>
      </w:r>
    </w:p>
    <w:p w14:paraId="5E6A1F2B" w14:textId="2D4267A0" w:rsidR="00F673D4" w:rsidRDefault="00F673D4" w:rsidP="00F673D4">
      <w:pPr>
        <w:pStyle w:val="0"/>
        <w:numPr>
          <w:ilvl w:val="0"/>
          <w:numId w:val="4"/>
        </w:numPr>
      </w:pPr>
      <w:r w:rsidRPr="00F673D4">
        <w:t>限制酒精、烟草及过量咖啡因摄入，因为它们可能加剧免疫激活和胃黏膜刺激</w:t>
      </w:r>
      <w:r w:rsidRPr="00EC2CBF">
        <w:t>；</w:t>
      </w:r>
    </w:p>
    <w:p w14:paraId="283A91AF" w14:textId="532DE6D0" w:rsidR="00F673D4" w:rsidRDefault="00F673D4" w:rsidP="00F673D4">
      <w:pPr>
        <w:pStyle w:val="00"/>
        <w:numPr>
          <w:ilvl w:val="0"/>
          <w:numId w:val="4"/>
        </w:numPr>
      </w:pPr>
      <w:r w:rsidRPr="00F673D4">
        <w:t>Incorporate daily routines that reduce toxin exposure (adequate hydration, minimizing pollutants, ensuring sufficient sunlight for circadian rhythm alignment).</w:t>
      </w:r>
    </w:p>
    <w:p w14:paraId="69F3B0FA" w14:textId="0A4ADAB2" w:rsidR="00F673D4" w:rsidRDefault="00F673D4" w:rsidP="00F673D4">
      <w:pPr>
        <w:pStyle w:val="0"/>
        <w:numPr>
          <w:ilvl w:val="0"/>
          <w:numId w:val="4"/>
        </w:numPr>
      </w:pPr>
      <w:r w:rsidRPr="00F673D4">
        <w:t>建立日常习惯以减少毒素暴露（如保持充足饮水、减少环境污染暴露、确保适度日晒以维持昼夜节律）</w:t>
      </w:r>
      <w:r w:rsidRPr="00EC2CBF">
        <w:t>。</w:t>
      </w:r>
    </w:p>
    <w:p w14:paraId="18E767A4" w14:textId="76128955" w:rsidR="00A271FC" w:rsidRDefault="00A271FC" w:rsidP="00A271FC">
      <w:pPr>
        <w:pStyle w:val="00"/>
      </w:pPr>
      <w:r>
        <w:t>By cultivating sustainable lifestyle habits, the patient can stabilize inflammatory processes, protect gastrointestinal and immune function, and reinforce hormonal and metabolic balance. In functional medicine, lifestyle modifications are not adjunctive but primary interventions, serving as the first line of defense against chronic disease and premature aging.</w:t>
      </w:r>
    </w:p>
    <w:p w14:paraId="428A8219" w14:textId="3FCEA405" w:rsidR="00F673D4" w:rsidRPr="00F673D4" w:rsidRDefault="00A271FC" w:rsidP="00A271FC">
      <w:pPr>
        <w:pStyle w:val="0"/>
      </w:pPr>
      <w:r>
        <w:t>通过培养可持续的生活方式习惯，</w:t>
      </w:r>
      <w:r>
        <w:rPr>
          <w:rFonts w:hint="eastAsia"/>
        </w:rPr>
        <w:t>您</w:t>
      </w:r>
      <w:r>
        <w:t>能够稳定炎症过程、保护胃肠与免疫功能，并强化荷尔蒙及代谢平衡。在功能医学中，生活方式调整并非辅助措施，而是核心干预，是抵御慢性疾病和延缓早衰的第一道防线。</w:t>
      </w:r>
    </w:p>
    <w:p w14:paraId="1A3B9925" w14:textId="77777777" w:rsidR="00C0663D" w:rsidRPr="00C0663D" w:rsidRDefault="00C0663D" w:rsidP="00C0663D">
      <w:pPr>
        <w:pStyle w:val="0"/>
      </w:pPr>
    </w:p>
    <w:p w14:paraId="03EB4ECC" w14:textId="4286B5C4" w:rsidR="00C0663D" w:rsidRDefault="00C0663D" w:rsidP="00C0663D">
      <w:pPr>
        <w:pStyle w:val="4-"/>
      </w:pPr>
      <w:r w:rsidRPr="00C0663D">
        <w:lastRenderedPageBreak/>
        <w:t xml:space="preserve">Long-term </w:t>
      </w:r>
      <w:r>
        <w:rPr>
          <w:rFonts w:hint="eastAsia"/>
        </w:rPr>
        <w:t>F</w:t>
      </w:r>
      <w:r w:rsidRPr="00C0663D">
        <w:t xml:space="preserve">ollow-up </w:t>
      </w:r>
      <w:r>
        <w:rPr>
          <w:rFonts w:hint="eastAsia"/>
        </w:rPr>
        <w:t>P</w:t>
      </w:r>
      <w:r w:rsidRPr="00C0663D">
        <w:t>lan</w:t>
      </w:r>
      <w:r>
        <w:rPr>
          <w:rFonts w:hint="eastAsia"/>
        </w:rPr>
        <w:t xml:space="preserve"> </w:t>
      </w:r>
      <w:r>
        <w:t>长期随访计划</w:t>
      </w:r>
    </w:p>
    <w:p w14:paraId="55DDAC13" w14:textId="6DF1754B" w:rsidR="00A271FC" w:rsidRDefault="00A271FC" w:rsidP="00A271FC">
      <w:pPr>
        <w:pStyle w:val="00"/>
      </w:pPr>
      <w:r>
        <w:t>Functional medicine emphasizes that health is a dynamic state requiring continuous assessment and adjustment. Long-term follow-up ensures that subtle imbalances are detected early, interventions are optimized over time, and patients remain engaged in proactive health management. Regular monitoring also builds accountability and reinforces sustainable lifestyle and therapeutic changes.</w:t>
      </w:r>
    </w:p>
    <w:p w14:paraId="6C3722E8" w14:textId="0FF273AA" w:rsidR="00BD218D" w:rsidRDefault="00A271FC" w:rsidP="00A271FC">
      <w:pPr>
        <w:pStyle w:val="0"/>
      </w:pPr>
      <w:r>
        <w:t>功能医学强调健康是一个需要持续评估与调整的动态过程。长期随访能够帮助及早发现潜在的不平衡，确保干预措施得到不断优化，并使</w:t>
      </w:r>
      <w:r>
        <w:rPr>
          <w:rFonts w:hint="eastAsia"/>
        </w:rPr>
        <w:t>您</w:t>
      </w:r>
      <w:r>
        <w:t>持续参与主动健康管理。规律的监测还能提升依从性，强化生活方式和治疗措施的可持续性。</w:t>
      </w:r>
    </w:p>
    <w:p w14:paraId="58112F1E" w14:textId="78AD9ED4" w:rsidR="00922F70" w:rsidRDefault="00922F70" w:rsidP="00922F70">
      <w:pPr>
        <w:pStyle w:val="00"/>
      </w:pPr>
      <w:r>
        <w:t>Given the findings of low-grade inflammation (elevated ESR), hormonal insufficiency (low progesterone, low IGF-1), immune activation (positive ANA), and gastric infection risk (H. pylori IgG positivity), structured follow-up should focus on tracking these domains over time to prevent progression into chronic or systemic disease.</w:t>
      </w:r>
    </w:p>
    <w:p w14:paraId="0E69BE71" w14:textId="264973C2" w:rsidR="00BD218D" w:rsidRDefault="00922F70" w:rsidP="00922F70">
      <w:pPr>
        <w:pStyle w:val="0"/>
      </w:pPr>
      <w:r>
        <w:t>结合本次检测结果：低度炎症（</w:t>
      </w:r>
      <w:r>
        <w:t>ESR</w:t>
      </w:r>
      <w:r>
        <w:t>升高）、荷尔蒙不足（黄体酮和</w:t>
      </w:r>
      <w:r>
        <w:t>IGF-1</w:t>
      </w:r>
      <w:r>
        <w:t>偏低）、免疫激活（</w:t>
      </w:r>
      <w:r>
        <w:t>ANA</w:t>
      </w:r>
      <w:r>
        <w:t>阳性）以及胃部感染风险（幽门螺杆菌抗体阳性），长期随访应重点关注这些领域的动态变化，以防止其演变为慢性或系统性疾病。</w:t>
      </w:r>
    </w:p>
    <w:p w14:paraId="17EC36A0" w14:textId="77777777" w:rsidR="00922F70" w:rsidRDefault="00922F70" w:rsidP="00922F70">
      <w:pPr>
        <w:pStyle w:val="00"/>
      </w:pPr>
      <w:r w:rsidRPr="00EC2CBF">
        <w:t>Recommended strategies include:</w:t>
      </w:r>
    </w:p>
    <w:p w14:paraId="5BF85770" w14:textId="77777777" w:rsidR="00922F70" w:rsidRDefault="00922F70" w:rsidP="00922F70">
      <w:pPr>
        <w:pStyle w:val="0"/>
      </w:pPr>
      <w:r w:rsidRPr="00EC2CBF">
        <w:t>建议措施包括：</w:t>
      </w:r>
    </w:p>
    <w:p w14:paraId="613F502F" w14:textId="1B7207AA" w:rsidR="00922F70" w:rsidRDefault="00922F70" w:rsidP="00922F70">
      <w:pPr>
        <w:pStyle w:val="00"/>
        <w:numPr>
          <w:ilvl w:val="0"/>
          <w:numId w:val="4"/>
        </w:numPr>
      </w:pPr>
      <w:r>
        <w:t>Laboratory reassessment every 6–12 months for hormonal panels, inflammatory markers, and immune-related antibodies.</w:t>
      </w:r>
    </w:p>
    <w:p w14:paraId="54F3F583" w14:textId="5B2B27AA" w:rsidR="00922F70" w:rsidRDefault="00922F70" w:rsidP="00922F70">
      <w:pPr>
        <w:pStyle w:val="0"/>
        <w:numPr>
          <w:ilvl w:val="0"/>
          <w:numId w:val="4"/>
        </w:numPr>
      </w:pPr>
      <w:r w:rsidRPr="00922F70">
        <w:t>每</w:t>
      </w:r>
      <w:r w:rsidRPr="00922F70">
        <w:t>6–12</w:t>
      </w:r>
      <w:r w:rsidRPr="00922F70">
        <w:t>个月复查一次荷尔蒙、炎症标志物及免疫相关抗体</w:t>
      </w:r>
      <w:r>
        <w:t>；</w:t>
      </w:r>
    </w:p>
    <w:p w14:paraId="2E1E85A5" w14:textId="53D600D0" w:rsidR="00922F70" w:rsidRDefault="00922F70" w:rsidP="00922F70">
      <w:pPr>
        <w:pStyle w:val="00"/>
        <w:numPr>
          <w:ilvl w:val="0"/>
          <w:numId w:val="4"/>
        </w:numPr>
      </w:pPr>
      <w:r>
        <w:t>Gastrointestinal evaluation (e.g., H. pylori testing, gut microbiome assessment) annually or as clinically indicated</w:t>
      </w:r>
      <w:r w:rsidRPr="0089273A">
        <w:t>.</w:t>
      </w:r>
    </w:p>
    <w:p w14:paraId="63F9E9B9" w14:textId="50C15DE6" w:rsidR="00922F70" w:rsidRDefault="00922F70" w:rsidP="00922F70">
      <w:pPr>
        <w:pStyle w:val="0"/>
        <w:numPr>
          <w:ilvl w:val="0"/>
          <w:numId w:val="4"/>
        </w:numPr>
      </w:pPr>
      <w:r w:rsidRPr="00922F70">
        <w:t>每年或在临床需要时进行胃肠道评估（如幽门螺杆菌检测、肠道微生态检测）</w:t>
      </w:r>
      <w:r w:rsidRPr="00EC2CBF">
        <w:t>；</w:t>
      </w:r>
    </w:p>
    <w:p w14:paraId="058855CC" w14:textId="64674534" w:rsidR="00922F70" w:rsidRDefault="00922F70" w:rsidP="00922F70">
      <w:pPr>
        <w:pStyle w:val="00"/>
        <w:numPr>
          <w:ilvl w:val="0"/>
          <w:numId w:val="4"/>
        </w:numPr>
      </w:pPr>
      <w:r>
        <w:t xml:space="preserve">Regular functional medicine consultations to integrate nutritional, lifestyle, and stress management progress into ongoing health </w:t>
      </w:r>
      <w:proofErr w:type="gramStart"/>
      <w:r>
        <w:t>strategies.</w:t>
      </w:r>
      <w:r w:rsidRPr="00F673D4">
        <w:t>.</w:t>
      </w:r>
      <w:proofErr w:type="gramEnd"/>
    </w:p>
    <w:p w14:paraId="5A5022B0" w14:textId="142408AE" w:rsidR="00922F70" w:rsidRDefault="00922F70" w:rsidP="00922F70">
      <w:pPr>
        <w:pStyle w:val="0"/>
        <w:numPr>
          <w:ilvl w:val="0"/>
          <w:numId w:val="4"/>
        </w:numPr>
      </w:pPr>
      <w:r w:rsidRPr="00922F70">
        <w:t>定期进行功能医学随访，将营养、生活方式及压力管理的执行情况纳入长期健康方案中</w:t>
      </w:r>
      <w:r w:rsidRPr="00EC2CBF">
        <w:t>。</w:t>
      </w:r>
    </w:p>
    <w:p w14:paraId="4E41CC3C" w14:textId="0DDBF5C8" w:rsidR="00922F70" w:rsidRPr="00922F70" w:rsidRDefault="00922F70" w:rsidP="00922F70">
      <w:pPr>
        <w:pStyle w:val="00"/>
      </w:pPr>
      <w:r>
        <w:t>Ongoing monitoring transforms health management from reactive to proactive. By maintaining continuity of care, imbalances can be corrected before they become clinically significant, reducing long-term morbidity and enhancing quality of life. In functional medicine, long-term follow-up is therefore not a supplementary step but an integral part of precision and preventive healthcare.</w:t>
      </w:r>
    </w:p>
    <w:p w14:paraId="699D39CD" w14:textId="4D44FF06" w:rsidR="00A271FC" w:rsidRPr="00922F70" w:rsidRDefault="00922F70" w:rsidP="00922F70">
      <w:pPr>
        <w:pStyle w:val="0"/>
      </w:pPr>
      <w:r>
        <w:t>持续随访能将健康管理从</w:t>
      </w:r>
      <w:r>
        <w:t>“</w:t>
      </w:r>
      <w:r>
        <w:t>被动反应</w:t>
      </w:r>
      <w:r>
        <w:t>”</w:t>
      </w:r>
      <w:r>
        <w:t>转变为</w:t>
      </w:r>
      <w:r>
        <w:t>“</w:t>
      </w:r>
      <w:r>
        <w:t>主动预防</w:t>
      </w:r>
      <w:r>
        <w:t>”</w:t>
      </w:r>
      <w:r>
        <w:t>。通过保持连续性的健康照护，可以在失衡尚未发展为临床问题前加以纠正，从而降低长期疾病风险并提升生活质量。在功能医学理念中，长期随访不是附加环节，而是精准预防医学不可或缺的一部分。</w:t>
      </w:r>
    </w:p>
    <w:p w14:paraId="012B7E7A" w14:textId="77777777" w:rsidR="00BD218D" w:rsidRDefault="00BD218D" w:rsidP="00BD218D">
      <w:pPr>
        <w:pStyle w:val="0"/>
      </w:pPr>
    </w:p>
    <w:p w14:paraId="150BE11E" w14:textId="77777777" w:rsidR="00BD218D" w:rsidRDefault="00BD218D" w:rsidP="00BD218D">
      <w:pPr>
        <w:pStyle w:val="0"/>
      </w:pPr>
    </w:p>
    <w:p w14:paraId="6BFA8DB4" w14:textId="71023AA9" w:rsidR="00BD218D" w:rsidRDefault="00BD218D" w:rsidP="00BD218D">
      <w:pPr>
        <w:pStyle w:val="00"/>
        <w:jc w:val="right"/>
      </w:pPr>
      <w:r>
        <w:rPr>
          <w:rFonts w:hint="eastAsia"/>
        </w:rPr>
        <w:t>Functional</w:t>
      </w:r>
      <w:r w:rsidRPr="009253BD">
        <w:t xml:space="preserve"> </w:t>
      </w:r>
      <w:r>
        <w:t>M</w:t>
      </w:r>
      <w:r w:rsidRPr="009253BD">
        <w:t xml:space="preserve">edical </w:t>
      </w:r>
      <w:r>
        <w:t>T</w:t>
      </w:r>
      <w:r w:rsidRPr="009253BD">
        <w:t>eam</w:t>
      </w:r>
      <w:r>
        <w:t xml:space="preserve"> from </w:t>
      </w:r>
      <w:r w:rsidRPr="009253BD">
        <w:t>Be.U Med</w:t>
      </w:r>
    </w:p>
    <w:p w14:paraId="061B1048" w14:textId="4E480638" w:rsidR="00BD218D" w:rsidRDefault="00BD218D" w:rsidP="00BD218D">
      <w:pPr>
        <w:widowControl/>
        <w:spacing w:line="240" w:lineRule="auto"/>
        <w:jc w:val="right"/>
        <w:rPr>
          <w:b/>
          <w:bCs/>
        </w:rPr>
      </w:pPr>
      <w:r w:rsidRPr="00F81CAD">
        <w:rPr>
          <w:rFonts w:hint="eastAsia"/>
          <w:b/>
          <w:bCs/>
        </w:rPr>
        <w:t xml:space="preserve">Be.U Med </w:t>
      </w:r>
      <w:r>
        <w:rPr>
          <w:rFonts w:hint="eastAsia"/>
          <w:b/>
          <w:bCs/>
        </w:rPr>
        <w:t>功能医学</w:t>
      </w:r>
      <w:r w:rsidRPr="00F81CAD">
        <w:rPr>
          <w:rFonts w:hint="eastAsia"/>
          <w:b/>
          <w:bCs/>
        </w:rPr>
        <w:t>团队</w:t>
      </w:r>
    </w:p>
    <w:p w14:paraId="3D41E849" w14:textId="2F33D5CC" w:rsidR="0015637C" w:rsidRDefault="00BD218D" w:rsidP="004C006C">
      <w:pPr>
        <w:widowControl/>
        <w:spacing w:line="240" w:lineRule="auto"/>
        <w:jc w:val="right"/>
        <w:rPr>
          <w:rFonts w:cs="Times New Roman"/>
          <w:b/>
          <w:sz w:val="36"/>
          <w:szCs w:val="44"/>
        </w:rPr>
      </w:pPr>
      <w:r>
        <w:rPr>
          <w:rFonts w:hint="eastAsia"/>
        </w:rPr>
        <w:t xml:space="preserve">      /    /    /</w:t>
      </w:r>
      <w:r w:rsidR="0015637C">
        <w:br w:type="page"/>
      </w:r>
    </w:p>
    <w:p w14:paraId="50C08D2F" w14:textId="77777777" w:rsidR="00C0663D" w:rsidRDefault="00C0663D">
      <w:pPr>
        <w:widowControl/>
        <w:spacing w:line="240" w:lineRule="auto"/>
        <w:jc w:val="left"/>
      </w:pPr>
    </w:p>
    <w:p w14:paraId="55740653" w14:textId="77777777" w:rsidR="00136B3F" w:rsidRDefault="00136B3F" w:rsidP="00136B3F">
      <w:pPr>
        <w:widowControl/>
        <w:spacing w:line="240" w:lineRule="auto"/>
        <w:jc w:val="left"/>
      </w:pPr>
    </w:p>
    <w:p w14:paraId="5F238A59" w14:textId="77777777" w:rsidR="00136B3F" w:rsidRDefault="00136B3F" w:rsidP="00136B3F">
      <w:pPr>
        <w:widowControl/>
        <w:spacing w:line="240" w:lineRule="auto"/>
        <w:jc w:val="left"/>
      </w:pPr>
    </w:p>
    <w:p w14:paraId="717F5D42" w14:textId="13653BA3" w:rsidR="00136B3F" w:rsidRDefault="00136B3F" w:rsidP="00136B3F">
      <w:pPr>
        <w:pStyle w:val="3-"/>
      </w:pPr>
      <w:r>
        <w:rPr>
          <w:rFonts w:hint="eastAsia"/>
        </w:rPr>
        <w:t xml:space="preserve">Client </w:t>
      </w:r>
      <w:r w:rsidR="0080134E">
        <w:rPr>
          <w:rFonts w:hint="eastAsia"/>
        </w:rPr>
        <w:t>F</w:t>
      </w:r>
      <w:r w:rsidR="0080134E" w:rsidRPr="0080134E">
        <w:t xml:space="preserve">unctional </w:t>
      </w:r>
      <w:r w:rsidR="0080134E">
        <w:rPr>
          <w:rFonts w:hint="eastAsia"/>
        </w:rPr>
        <w:t>M</w:t>
      </w:r>
      <w:r w:rsidR="0080134E" w:rsidRPr="0080134E">
        <w:t xml:space="preserve">edical </w:t>
      </w:r>
      <w:r w:rsidR="0080134E">
        <w:rPr>
          <w:rFonts w:hint="eastAsia"/>
        </w:rPr>
        <w:t>Examination F</w:t>
      </w:r>
      <w:r w:rsidR="0080134E" w:rsidRPr="0080134E">
        <w:t>ile</w:t>
      </w:r>
      <w:r>
        <w:rPr>
          <w:rFonts w:hint="eastAsia"/>
        </w:rPr>
        <w:br/>
        <w:t>客户</w:t>
      </w:r>
      <w:r w:rsidR="0080134E">
        <w:rPr>
          <w:rFonts w:hint="eastAsia"/>
        </w:rPr>
        <w:t>功能医学检测档案</w:t>
      </w:r>
    </w:p>
    <w:p w14:paraId="3E29A084" w14:textId="77777777" w:rsidR="00136B3F" w:rsidRDefault="00136B3F" w:rsidP="00136B3F">
      <w:pPr>
        <w:widowControl/>
        <w:spacing w:line="240" w:lineRule="auto"/>
        <w:jc w:val="left"/>
      </w:pPr>
    </w:p>
    <w:p w14:paraId="5DFFC53D" w14:textId="77777777" w:rsidR="00136B3F" w:rsidRDefault="00136B3F" w:rsidP="00136B3F">
      <w:pPr>
        <w:widowControl/>
        <w:spacing w:line="240" w:lineRule="auto"/>
        <w:jc w:val="left"/>
      </w:pPr>
    </w:p>
    <w:p w14:paraId="383E9478" w14:textId="77777777" w:rsidR="00136B3F" w:rsidRPr="00913B81" w:rsidRDefault="00136B3F" w:rsidP="00136B3F">
      <w:pPr>
        <w:pStyle w:val="0"/>
        <w:rPr>
          <w:rFonts w:ascii="华文楷体" w:eastAsia="华文楷体" w:hAnsi="华文楷体"/>
          <w:b/>
          <w:bCs/>
        </w:rPr>
      </w:pPr>
      <w:r>
        <w:rPr>
          <w:rFonts w:ascii="华文楷体" w:eastAsia="华文楷体" w:hAnsi="华文楷体" w:hint="eastAsia"/>
          <w:b/>
          <w:bCs/>
        </w:rPr>
        <w:t xml:space="preserve"> </w:t>
      </w:r>
      <w:r w:rsidRPr="00913B81">
        <w:rPr>
          <w:rFonts w:ascii="华文楷体" w:eastAsia="华文楷体" w:hAnsi="华文楷体" w:hint="eastAsia"/>
          <w:b/>
          <w:bCs/>
        </w:rPr>
        <w:t>Name / 姓名 ：</w:t>
      </w:r>
    </w:p>
    <w:p w14:paraId="53D29B3B" w14:textId="77777777" w:rsidR="00136B3F" w:rsidRDefault="00136B3F" w:rsidP="00136B3F">
      <w:pPr>
        <w:pStyle w:val="0"/>
        <w:rPr>
          <w:rFonts w:ascii="华文楷体" w:eastAsia="华文楷体" w:hAnsi="华文楷体"/>
          <w:b/>
          <w:bCs/>
        </w:rPr>
      </w:pPr>
      <w:r w:rsidRPr="00913B81">
        <w:rPr>
          <w:rFonts w:ascii="华文楷体" w:eastAsia="华文楷体" w:hAnsi="华文楷体" w:hint="eastAsia"/>
          <w:b/>
          <w:bCs/>
        </w:rPr>
        <w:t>Gender / 性别</w:t>
      </w:r>
      <w:r>
        <w:rPr>
          <w:rFonts w:ascii="华文楷体" w:eastAsia="华文楷体" w:hAnsi="华文楷体" w:hint="eastAsia"/>
          <w:b/>
          <w:bCs/>
        </w:rPr>
        <w:t xml:space="preserve"> </w:t>
      </w:r>
      <w:r w:rsidRPr="00913B81">
        <w:rPr>
          <w:rFonts w:ascii="华文楷体" w:eastAsia="华文楷体" w:hAnsi="华文楷体" w:hint="eastAsia"/>
          <w:b/>
          <w:bCs/>
        </w:rPr>
        <w:t>：</w:t>
      </w:r>
    </w:p>
    <w:p w14:paraId="519A05E4" w14:textId="77777777" w:rsidR="00136B3F" w:rsidRDefault="00136B3F" w:rsidP="00136B3F">
      <w:pPr>
        <w:pStyle w:val="0"/>
        <w:rPr>
          <w:rFonts w:ascii="华文楷体" w:eastAsia="华文楷体" w:hAnsi="华文楷体"/>
          <w:b/>
          <w:bCs/>
        </w:rPr>
      </w:pPr>
      <w:r>
        <w:rPr>
          <w:rFonts w:ascii="华文楷体" w:eastAsia="华文楷体" w:hAnsi="华文楷体" w:hint="eastAsia"/>
          <w:b/>
          <w:bCs/>
        </w:rPr>
        <w:t xml:space="preserve">   Age / 年龄 ：</w:t>
      </w:r>
    </w:p>
    <w:p w14:paraId="1CE0E568" w14:textId="77777777" w:rsidR="00136B3F" w:rsidRPr="00913B81" w:rsidRDefault="00136B3F" w:rsidP="00136B3F">
      <w:pPr>
        <w:pStyle w:val="0"/>
        <w:rPr>
          <w:rFonts w:ascii="华文楷体" w:eastAsia="华文楷体" w:hAnsi="华文楷体"/>
          <w:b/>
          <w:bCs/>
        </w:rPr>
      </w:pPr>
      <w:r>
        <w:rPr>
          <w:rFonts w:ascii="华文楷体" w:eastAsia="华文楷体" w:hAnsi="华文楷体" w:hint="eastAsia"/>
          <w:b/>
          <w:bCs/>
        </w:rPr>
        <w:t>Nation / 国籍 ：</w:t>
      </w:r>
    </w:p>
    <w:p w14:paraId="7ACD77A2" w14:textId="77777777" w:rsidR="00136B3F" w:rsidRDefault="00136B3F" w:rsidP="00136B3F">
      <w:pPr>
        <w:widowControl/>
        <w:spacing w:line="240" w:lineRule="auto"/>
        <w:jc w:val="left"/>
      </w:pPr>
    </w:p>
    <w:p w14:paraId="37736C2D" w14:textId="77777777" w:rsidR="00136B3F" w:rsidRDefault="00136B3F" w:rsidP="00136B3F">
      <w:pPr>
        <w:widowControl/>
        <w:spacing w:line="240" w:lineRule="auto"/>
        <w:jc w:val="left"/>
      </w:pPr>
    </w:p>
    <w:p w14:paraId="6209CA98" w14:textId="77777777" w:rsidR="00136B3F" w:rsidRPr="00913B81" w:rsidRDefault="00136B3F" w:rsidP="00136B3F">
      <w:pPr>
        <w:widowControl/>
        <w:spacing w:line="240" w:lineRule="auto"/>
        <w:jc w:val="left"/>
        <w:rPr>
          <w:b/>
          <w:bCs/>
        </w:rPr>
      </w:pPr>
      <w:r w:rsidRPr="00913B81">
        <w:rPr>
          <w:rFonts w:hint="eastAsia"/>
          <w:b/>
          <w:bCs/>
        </w:rPr>
        <w:t>——————————————</w:t>
      </w:r>
    </w:p>
    <w:p w14:paraId="2CAE17AA" w14:textId="77777777" w:rsidR="00136B3F" w:rsidRDefault="00136B3F" w:rsidP="00136B3F">
      <w:pPr>
        <w:widowControl/>
        <w:spacing w:line="240" w:lineRule="auto"/>
        <w:jc w:val="left"/>
      </w:pPr>
    </w:p>
    <w:p w14:paraId="2DCEA48F" w14:textId="77777777" w:rsidR="00136B3F" w:rsidRDefault="00136B3F" w:rsidP="00136B3F">
      <w:pPr>
        <w:widowControl/>
        <w:spacing w:line="240" w:lineRule="auto"/>
        <w:jc w:val="left"/>
      </w:pPr>
    </w:p>
    <w:p w14:paraId="6B8BC695" w14:textId="77777777" w:rsidR="00136B3F" w:rsidRDefault="00136B3F" w:rsidP="00136B3F">
      <w:pPr>
        <w:pStyle w:val="0"/>
        <w:ind w:leftChars="-20" w:left="-42" w:hangingChars="1" w:hanging="2"/>
        <w:rPr>
          <w:rFonts w:ascii="华文楷体" w:eastAsia="华文楷体" w:hAnsi="华文楷体"/>
          <w:b/>
          <w:bCs/>
        </w:rPr>
      </w:pPr>
      <w:r>
        <w:rPr>
          <w:rFonts w:ascii="华文楷体" w:eastAsia="华文楷体" w:hAnsi="华文楷体" w:hint="eastAsia"/>
          <w:b/>
          <w:bCs/>
        </w:rPr>
        <w:t xml:space="preserve">  Time / 体检时间 ：</w:t>
      </w:r>
    </w:p>
    <w:p w14:paraId="6C4E2AA7" w14:textId="77777777" w:rsidR="00136B3F" w:rsidRDefault="00136B3F" w:rsidP="00136B3F">
      <w:pPr>
        <w:pStyle w:val="0"/>
        <w:rPr>
          <w:rFonts w:ascii="华文楷体" w:eastAsia="华文楷体" w:hAnsi="华文楷体"/>
          <w:b/>
          <w:bCs/>
        </w:rPr>
      </w:pPr>
      <w:r>
        <w:rPr>
          <w:rFonts w:ascii="华文楷体" w:eastAsia="华文楷体" w:hAnsi="华文楷体" w:hint="eastAsia"/>
          <w:b/>
          <w:bCs/>
        </w:rPr>
        <w:t>Project / 体检项目 ：</w:t>
      </w:r>
    </w:p>
    <w:p w14:paraId="0DC7317F" w14:textId="77777777" w:rsidR="00136B3F" w:rsidRDefault="00136B3F" w:rsidP="00136B3F">
      <w:pPr>
        <w:pStyle w:val="0"/>
        <w:ind w:leftChars="-20" w:left="-42" w:hangingChars="1" w:hanging="2"/>
        <w:rPr>
          <w:rFonts w:ascii="华文楷体" w:eastAsia="华文楷体" w:hAnsi="华文楷体"/>
          <w:b/>
          <w:bCs/>
        </w:rPr>
      </w:pPr>
      <w:r>
        <w:rPr>
          <w:rFonts w:ascii="华文楷体" w:eastAsia="华文楷体" w:hAnsi="华文楷体" w:hint="eastAsia"/>
          <w:b/>
          <w:bCs/>
        </w:rPr>
        <w:t xml:space="preserve">  Time / 报告时间 ：</w:t>
      </w:r>
    </w:p>
    <w:p w14:paraId="2DC28D1C" w14:textId="77777777" w:rsidR="00136B3F" w:rsidRDefault="00136B3F" w:rsidP="00136B3F">
      <w:pPr>
        <w:widowControl/>
        <w:spacing w:line="240" w:lineRule="auto"/>
        <w:jc w:val="left"/>
      </w:pPr>
    </w:p>
    <w:p w14:paraId="4BD1A258" w14:textId="77777777" w:rsidR="00C0663D" w:rsidRDefault="00C0663D">
      <w:pPr>
        <w:widowControl/>
        <w:spacing w:line="240" w:lineRule="auto"/>
        <w:jc w:val="left"/>
      </w:pPr>
    </w:p>
    <w:p w14:paraId="2BCC9580" w14:textId="77777777" w:rsidR="00C0663D" w:rsidRDefault="00C0663D">
      <w:pPr>
        <w:widowControl/>
        <w:spacing w:line="240" w:lineRule="auto"/>
        <w:jc w:val="left"/>
      </w:pPr>
    </w:p>
    <w:p w14:paraId="66AF4CE8" w14:textId="05F52BB4" w:rsidR="00C0663D" w:rsidRDefault="00C0663D">
      <w:pPr>
        <w:widowControl/>
        <w:spacing w:line="240" w:lineRule="auto"/>
        <w:jc w:val="left"/>
        <w:rPr>
          <w:rFonts w:cs="Times New Roman"/>
          <w:b/>
          <w:sz w:val="36"/>
          <w:szCs w:val="44"/>
        </w:rPr>
      </w:pPr>
      <w:r>
        <w:br w:type="page"/>
      </w:r>
    </w:p>
    <w:p w14:paraId="486053F2" w14:textId="334B314E" w:rsidR="004619DA" w:rsidRPr="00A642C1" w:rsidRDefault="004619DA" w:rsidP="00A642C1">
      <w:pPr>
        <w:pStyle w:val="3-"/>
      </w:pPr>
      <w:r w:rsidRPr="00A642C1">
        <w:lastRenderedPageBreak/>
        <w:t>Urine Detection</w:t>
      </w:r>
      <w:r w:rsidRPr="00A642C1">
        <w:br/>
      </w:r>
      <w:r w:rsidR="0080134E" w:rsidRPr="00A642C1">
        <w:rPr>
          <w:rFonts w:hint="eastAsia"/>
        </w:rPr>
        <w:t>尿液</w:t>
      </w:r>
      <w:r w:rsidR="0080134E" w:rsidRPr="00A642C1">
        <w:t>检测</w:t>
      </w:r>
    </w:p>
    <w:p w14:paraId="0FF19C0A" w14:textId="77777777" w:rsidR="004619DA" w:rsidRPr="004619DA" w:rsidRDefault="004619DA" w:rsidP="004619DA">
      <w:pPr>
        <w:pStyle w:val="0"/>
      </w:pPr>
    </w:p>
    <w:p w14:paraId="399982AA" w14:textId="328145BA" w:rsidR="004619DA" w:rsidRPr="00A642C1" w:rsidRDefault="004619DA" w:rsidP="00A642C1">
      <w:pPr>
        <w:pStyle w:val="00"/>
      </w:pPr>
      <w:r w:rsidRPr="00A642C1">
        <w:t>Urine Test is one of the most common and fundamental screening tools in clinical practice. By analyzing the physical appearance, chemical properties, and cellular components of urine, it provides valuable insights into kidney and urinary tract health, while also reflecting the functional status of metabolic, endocrine, and circulatory systems. Routine urinalysis can help identify potential health issues at an early stage, such as urinary tract infections, renal dysfunction, diabetes, and metabolic disorders, thereby supporting disease prevention and timely intervention.</w:t>
      </w:r>
    </w:p>
    <w:p w14:paraId="3071EF46" w14:textId="77E3B4D9" w:rsidR="004619DA" w:rsidRPr="004619DA" w:rsidRDefault="004619DA" w:rsidP="004619DA">
      <w:pPr>
        <w:pStyle w:val="0"/>
      </w:pPr>
      <w:r w:rsidRPr="004619DA">
        <w:t>尿液检测是临床最常见、最基础的健康筛查手段之一，通过对尿液的外观、化学性质及细胞成分进行分析，可以反映肾脏及泌尿系统的健康状况，并间接揭示代谢、内分泌及循环系统的功能状态。常规尿液检测能够发现身体在早期阶段可能存在的问题，例如泌尿系统感染、肾功能异常、糖尿病及代谢紊乱等，从而为疾病的预防与干预提供参考。</w:t>
      </w:r>
    </w:p>
    <w:p w14:paraId="32173875" w14:textId="3B53C13C" w:rsidR="004619DA" w:rsidRPr="004619DA" w:rsidRDefault="004619DA" w:rsidP="00A642C1">
      <w:pPr>
        <w:pStyle w:val="00"/>
      </w:pPr>
      <w:r w:rsidRPr="004619DA">
        <w:t xml:space="preserve">In </w:t>
      </w:r>
      <w:r w:rsidRPr="004619DA">
        <w:rPr>
          <w:rFonts w:hint="eastAsia"/>
        </w:rPr>
        <w:t xml:space="preserve">Functional medicine </w:t>
      </w:r>
      <w:r w:rsidRPr="004619DA">
        <w:t>health management, the significance of urinalysis extends beyond the detection of renal diseases (such as nephritis, nephrotic syndrome, or urinary calculi). It can also indicate glucose metabolism abnormalities (e.g., diabetes, ketosis) and urinary tract infections (such as cystitis or pyelonephritis). Moreover, changes in urine pH, specific gravity, protein levels, and red blood cells may indirectly reflect the body’s acid-base balance, metabolic status, and the presence of bleeding or inflammatory conditions.</w:t>
      </w:r>
    </w:p>
    <w:p w14:paraId="37793E6A" w14:textId="178F75A6" w:rsidR="004619DA" w:rsidRPr="004619DA" w:rsidRDefault="004619DA" w:rsidP="004619DA">
      <w:pPr>
        <w:pStyle w:val="0"/>
      </w:pPr>
      <w:r w:rsidRPr="004619DA">
        <w:t>在</w:t>
      </w:r>
      <w:r>
        <w:rPr>
          <w:rFonts w:hint="eastAsia"/>
        </w:rPr>
        <w:t>功能医学</w:t>
      </w:r>
      <w:r w:rsidRPr="004619DA">
        <w:t>健康管理中，尿液检测的价值不仅在于对肾脏疾病（如肾炎、肾病综合征、泌尿系结石）的早期发现，还能提示糖代谢异常（如糖尿病、酮症）和泌尿系统感染（如膀胱炎、肾盂肾炎）的可能。此外，通过酸碱度、比重、蛋白质及红细胞的变化，还可以间接反映机体的内环境平衡、循环代谢状态以及潜在的出血或炎症情况。</w:t>
      </w:r>
    </w:p>
    <w:p w14:paraId="35CFEC77" w14:textId="36BE851A" w:rsidR="004619DA" w:rsidRPr="004619DA" w:rsidRDefault="004619DA" w:rsidP="00A642C1">
      <w:pPr>
        <w:pStyle w:val="00"/>
      </w:pPr>
      <w:r w:rsidRPr="004619DA">
        <w:t>As a non-invasive, rapid, and highly sensitive method, urinalysis serves as a cornerstone of preventive healthcare. Regular urine testing enables the early detection of abnormalities before clinical symptoms emerge, facilitating early screening, precise intervention, and long-term health management.</w:t>
      </w:r>
    </w:p>
    <w:p w14:paraId="401799C4" w14:textId="3AB4274A" w:rsidR="004619DA" w:rsidRDefault="004619DA" w:rsidP="009E1205">
      <w:pPr>
        <w:pStyle w:val="0"/>
      </w:pPr>
      <w:r w:rsidRPr="004619DA">
        <w:t>因此，尿液检测作为健康体检的重要组成部分，具有简便、快速、无创和高敏感度的优势。通过定期检测，可以在临床症状出现之前发现异常，有助于实现疾病的早期筛查、精准干预与长期健康管理。</w:t>
      </w:r>
    </w:p>
    <w:p w14:paraId="702BFB7B" w14:textId="1250F5BE" w:rsidR="009967D1" w:rsidRPr="004619DA" w:rsidRDefault="009E1205" w:rsidP="009E1205">
      <w:pPr>
        <w:pStyle w:val="00"/>
        <w:rPr>
          <w:rFonts w:ascii="Times New Roman" w:eastAsia="宋体" w:hAnsi="Times New Roman"/>
          <w:color w:val="323E4F" w:themeColor="text2" w:themeShade="BF"/>
          <w:sz w:val="24"/>
        </w:rPr>
      </w:pPr>
      <w:r w:rsidRPr="009E1205">
        <w:rPr>
          <w:noProof/>
        </w:rPr>
        <w:drawing>
          <wp:anchor distT="0" distB="0" distL="114300" distR="114300" simplePos="0" relativeHeight="251663360" behindDoc="0" locked="0" layoutInCell="1" allowOverlap="0" wp14:anchorId="1997337E" wp14:editId="589F1774">
            <wp:simplePos x="0" y="0"/>
            <wp:positionH relativeFrom="column">
              <wp:posOffset>0</wp:posOffset>
            </wp:positionH>
            <wp:positionV relativeFrom="paragraph">
              <wp:posOffset>194945</wp:posOffset>
            </wp:positionV>
            <wp:extent cx="6079490" cy="1706880"/>
            <wp:effectExtent l="0" t="0" r="3810" b="0"/>
            <wp:wrapTopAndBottom/>
            <wp:docPr id="19986193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619358" name=""/>
                    <pic:cNvPicPr/>
                  </pic:nvPicPr>
                  <pic:blipFill rotWithShape="1">
                    <a:blip r:embed="rId11">
                      <a:extLst>
                        <a:ext uri="{28A0092B-C50C-407E-A947-70E740481C1C}">
                          <a14:useLocalDpi xmlns:a14="http://schemas.microsoft.com/office/drawing/2010/main" val="0"/>
                        </a:ext>
                      </a:extLst>
                    </a:blip>
                    <a:srcRect t="21771" b="33305"/>
                    <a:stretch>
                      <a:fillRect/>
                    </a:stretch>
                  </pic:blipFill>
                  <pic:spPr bwMode="auto">
                    <a:xfrm>
                      <a:off x="0" y="0"/>
                      <a:ext cx="6079490" cy="17068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5B9112" w14:textId="77777777" w:rsidR="009967D1" w:rsidRPr="004619DA" w:rsidRDefault="0080134E">
      <w:pPr>
        <w:widowControl/>
        <w:jc w:val="left"/>
        <w:rPr>
          <w:rFonts w:ascii="Times New Roman" w:eastAsia="宋体" w:hAnsi="Times New Roman" w:cs="Times New Roman"/>
        </w:rPr>
      </w:pPr>
      <w:r w:rsidRPr="004619DA">
        <w:rPr>
          <w:rFonts w:ascii="Times New Roman" w:eastAsia="宋体" w:hAnsi="Times New Roman" w:cs="Times New Roman"/>
        </w:rPr>
        <w:br w:type="page"/>
      </w:r>
    </w:p>
    <w:p w14:paraId="6DD95540"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1BE18D5" w14:textId="77777777">
        <w:trPr>
          <w:trHeight w:val="839"/>
          <w:jc w:val="center"/>
        </w:trPr>
        <w:tc>
          <w:tcPr>
            <w:tcW w:w="1150" w:type="dxa"/>
            <w:tcBorders>
              <w:top w:val="single" w:sz="4" w:space="0" w:color="auto"/>
              <w:bottom w:val="single" w:sz="4" w:space="0" w:color="auto"/>
            </w:tcBorders>
            <w:vAlign w:val="center"/>
          </w:tcPr>
          <w:p w14:paraId="45A85FCD" w14:textId="77777777" w:rsidR="009967D1" w:rsidRDefault="0080134E">
            <w:pPr>
              <w:spacing w:line="300" w:lineRule="exact"/>
              <w:jc w:val="center"/>
              <w:rPr>
                <w:color w:val="323E4F" w:themeColor="text2" w:themeShade="BF"/>
                <w:sz w:val="26"/>
                <w:szCs w:val="26"/>
              </w:rPr>
            </w:pPr>
            <w:bookmarkStart w:id="0" w:name="_Hlk26194913"/>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6770165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5216ADE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4B1B232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6B20890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5A34AC2D"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7EB48D1B" w14:textId="77777777">
        <w:trPr>
          <w:trHeight w:val="1111"/>
          <w:jc w:val="center"/>
        </w:trPr>
        <w:tc>
          <w:tcPr>
            <w:tcW w:w="9653" w:type="dxa"/>
            <w:gridSpan w:val="11"/>
            <w:tcBorders>
              <w:top w:val="single" w:sz="4" w:space="0" w:color="auto"/>
              <w:bottom w:val="single" w:sz="4" w:space="0" w:color="auto"/>
            </w:tcBorders>
            <w:vAlign w:val="center"/>
          </w:tcPr>
          <w:p w14:paraId="64CB7F17" w14:textId="77777777" w:rsidR="009967D1" w:rsidRDefault="0080134E">
            <w:pPr>
              <w:spacing w:line="400" w:lineRule="exact"/>
              <w:jc w:val="center"/>
              <w:rPr>
                <w:b/>
                <w:bCs/>
                <w:color w:val="323E4F" w:themeColor="text2" w:themeShade="BF"/>
                <w:sz w:val="32"/>
                <w:szCs w:val="32"/>
              </w:rPr>
            </w:pPr>
            <w:r>
              <w:rPr>
                <w:b/>
                <w:bCs/>
                <w:color w:val="323E4F" w:themeColor="text2" w:themeShade="BF"/>
                <w:sz w:val="32"/>
                <w:szCs w:val="32"/>
              </w:rPr>
              <w:t xml:space="preserve">Urine </w:t>
            </w:r>
            <w:r>
              <w:rPr>
                <w:rFonts w:hint="eastAsia"/>
                <w:b/>
                <w:bCs/>
                <w:color w:val="323E4F" w:themeColor="text2" w:themeShade="BF"/>
                <w:sz w:val="32"/>
                <w:szCs w:val="32"/>
              </w:rPr>
              <w:t>D</w:t>
            </w:r>
            <w:r>
              <w:rPr>
                <w:b/>
                <w:bCs/>
                <w:color w:val="323E4F" w:themeColor="text2" w:themeShade="BF"/>
                <w:sz w:val="32"/>
                <w:szCs w:val="32"/>
              </w:rPr>
              <w:t>etection</w:t>
            </w:r>
          </w:p>
          <w:p w14:paraId="6DD77BC8"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尿液检测</w:t>
            </w:r>
          </w:p>
        </w:tc>
      </w:tr>
      <w:tr w:rsidR="009967D1" w14:paraId="4E061B62" w14:textId="77777777">
        <w:trPr>
          <w:trHeight w:hRule="exact" w:val="113"/>
          <w:jc w:val="center"/>
        </w:trPr>
        <w:tc>
          <w:tcPr>
            <w:tcW w:w="1560" w:type="dxa"/>
            <w:gridSpan w:val="2"/>
            <w:tcBorders>
              <w:top w:val="single" w:sz="4" w:space="0" w:color="auto"/>
            </w:tcBorders>
            <w:vAlign w:val="center"/>
          </w:tcPr>
          <w:p w14:paraId="6F9642C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28C19B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3C36A7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AD7D06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463380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D69C70D" w14:textId="77777777" w:rsidR="009967D1" w:rsidRDefault="009967D1">
            <w:pPr>
              <w:spacing w:line="300" w:lineRule="exact"/>
              <w:jc w:val="right"/>
              <w:rPr>
                <w:color w:val="323E4F" w:themeColor="text2" w:themeShade="BF"/>
                <w:sz w:val="2"/>
                <w:szCs w:val="2"/>
              </w:rPr>
            </w:pPr>
          </w:p>
        </w:tc>
      </w:tr>
      <w:tr w:rsidR="009967D1" w14:paraId="5F67B963" w14:textId="77777777">
        <w:trPr>
          <w:trHeight w:val="432"/>
          <w:jc w:val="center"/>
        </w:trPr>
        <w:tc>
          <w:tcPr>
            <w:tcW w:w="1150" w:type="dxa"/>
            <w:vAlign w:val="center"/>
          </w:tcPr>
          <w:p w14:paraId="5B555A63" w14:textId="77777777" w:rsidR="009967D1" w:rsidRDefault="0080134E">
            <w:pPr>
              <w:spacing w:line="400" w:lineRule="exact"/>
              <w:jc w:val="center"/>
              <w:rPr>
                <w:b/>
                <w:bCs/>
                <w:color w:val="323E4F" w:themeColor="text2" w:themeShade="BF"/>
                <w:sz w:val="24"/>
              </w:rPr>
            </w:pPr>
            <w:r>
              <w:rPr>
                <w:rFonts w:hint="eastAsia"/>
                <w:b/>
                <w:bCs/>
                <w:color w:val="323E4F" w:themeColor="text2" w:themeShade="BF"/>
                <w:sz w:val="24"/>
              </w:rPr>
              <w:t>Color</w:t>
            </w:r>
          </w:p>
        </w:tc>
        <w:tc>
          <w:tcPr>
            <w:tcW w:w="2536" w:type="dxa"/>
            <w:gridSpan w:val="2"/>
            <w:vAlign w:val="center"/>
          </w:tcPr>
          <w:p w14:paraId="7479755B" w14:textId="77777777" w:rsidR="009967D1" w:rsidRDefault="0080134E">
            <w:pPr>
              <w:spacing w:line="400" w:lineRule="exact"/>
              <w:jc w:val="center"/>
              <w:rPr>
                <w:b/>
                <w:bCs/>
                <w:color w:val="323E4F" w:themeColor="text2" w:themeShade="BF"/>
                <w:sz w:val="24"/>
              </w:rPr>
            </w:pPr>
            <w:r>
              <w:rPr>
                <w:rFonts w:hint="eastAsia"/>
                <w:b/>
                <w:bCs/>
                <w:color w:val="323E4F" w:themeColor="text2" w:themeShade="BF"/>
                <w:sz w:val="24"/>
              </w:rPr>
              <w:t>颜色</w:t>
            </w:r>
          </w:p>
        </w:tc>
        <w:tc>
          <w:tcPr>
            <w:tcW w:w="1754" w:type="dxa"/>
            <w:gridSpan w:val="2"/>
            <w:vAlign w:val="center"/>
          </w:tcPr>
          <w:p>
            <w:r>
              <w:t>{{URINE_COLOR_result}}</w:t>
            </w:r>
          </w:p>
        </w:tc>
        <w:tc>
          <w:tcPr>
            <w:tcW w:w="825" w:type="dxa"/>
            <w:gridSpan w:val="2"/>
            <w:vAlign w:val="center"/>
          </w:tcPr>
          <w:p>
            <w:r>
              <w:t>{{URINE_COLOR_point}}</w:t>
            </w:r>
          </w:p>
        </w:tc>
        <w:tc>
          <w:tcPr>
            <w:tcW w:w="1980" w:type="dxa"/>
            <w:gridSpan w:val="2"/>
            <w:vAlign w:val="center"/>
          </w:tcPr>
          <w:p>
            <w:r>
              <w:t>{{URINE_COLOR_refer}}</w:t>
            </w:r>
          </w:p>
        </w:tc>
        <w:tc>
          <w:tcPr>
            <w:tcW w:w="1408" w:type="dxa"/>
            <w:gridSpan w:val="2"/>
            <w:vAlign w:val="center"/>
          </w:tcPr>
          <w:p>
            <w:r>
              <w:t>{{URINE_COLOR_unit}}</w:t>
            </w:r>
          </w:p>
        </w:tc>
      </w:tr>
      <w:tr w:rsidR="009967D1" w14:paraId="610B4B6B" w14:textId="77777777">
        <w:trPr>
          <w:trHeight w:val="1651"/>
          <w:jc w:val="center"/>
        </w:trPr>
        <w:tc>
          <w:tcPr>
            <w:tcW w:w="9653" w:type="dxa"/>
            <w:gridSpan w:val="11"/>
            <w:vAlign w:val="center"/>
          </w:tcPr>
          <w:p w14:paraId="29400540" w14:textId="77777777" w:rsidR="009967D1" w:rsidRDefault="009967D1">
            <w:pPr>
              <w:jc w:val="left"/>
              <w:rPr>
                <w:b/>
                <w:bCs/>
                <w:color w:val="404040" w:themeColor="text1" w:themeTint="BF"/>
                <w:szCs w:val="22"/>
              </w:rPr>
            </w:pPr>
          </w:p>
          <w:p w14:paraId="18162C83"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Reflects the appearance and properties of urine, assisting in judging the health status of the urinary system and the body as a whole. Normal urine is pale yellow to dark yellow due to containing urobilin and other substances, and is affected by water intake, food, drugs, etc.</w:t>
            </w:r>
          </w:p>
          <w:p w14:paraId="25B66346" w14:textId="77777777" w:rsidR="009967D1" w:rsidRDefault="0080134E">
            <w:pPr>
              <w:rPr>
                <w:color w:val="404040" w:themeColor="text1" w:themeTint="BF"/>
                <w:szCs w:val="22"/>
              </w:rPr>
            </w:pPr>
            <w:r>
              <w:rPr>
                <w:rFonts w:hint="eastAsia"/>
                <w:b/>
                <w:bCs/>
                <w:color w:val="404040" w:themeColor="text1" w:themeTint="BF"/>
                <w:szCs w:val="22"/>
              </w:rPr>
              <w:t>临床意义：</w:t>
            </w:r>
            <w:r>
              <w:rPr>
                <w:color w:val="404040" w:themeColor="text1" w:themeTint="BF"/>
                <w:szCs w:val="22"/>
              </w:rPr>
              <w:t>反映尿液的外观性状，辅助判断泌尿系统及身体整体健康状态，正常尿液因含尿色素等呈淡黄色至深黄色，受饮水、食物、药物等影响。</w:t>
            </w:r>
          </w:p>
        </w:tc>
      </w:tr>
      <w:bookmarkEnd w:id="0"/>
      <w:tr w:rsidR="009967D1" w14:paraId="5F67B963" w14:textId="77777777">
        <w:trPr>
          <w:trHeight w:val="432"/>
          <w:jc w:val="center"/>
        </w:trPr>
        <w:tc>
          <w:tcPr>
            <w:tcW w:w="1150" w:type="dxa"/>
            <w:vAlign w:val="center"/>
          </w:tcPr>
          <w:p>
            <w:r>
              <w:t>Clarity</w:t>
            </w:r>
          </w:p>
        </w:tc>
        <w:tc>
          <w:tcPr>
            <w:tcW w:w="2536" w:type="dxa"/>
            <w:gridSpan w:val="2"/>
            <w:vAlign w:val="center"/>
          </w:tcPr>
          <w:p>
            <w:r>
              <w:t>Transparency 透明度</w:t>
            </w:r>
          </w:p>
        </w:tc>
        <w:tc>
          <w:tcPr>
            <w:tcW w:w="1754" w:type="dxa"/>
            <w:gridSpan w:val="2"/>
            <w:vAlign w:val="center"/>
          </w:tcPr>
          <w:p>
            <w:r>
              <w:t>Clear</w:t>
            </w:r>
          </w:p>
        </w:tc>
        <w:tc>
          <w:tcPr>
            <w:tcW w:w="825" w:type="dxa"/>
            <w:gridSpan w:val="2"/>
            <w:vAlign w:val="center"/>
          </w:tcPr>
          <w:p>
            <w:r/>
          </w:p>
        </w:tc>
        <w:tc>
          <w:tcPr>
            <w:tcW w:w="1980" w:type="dxa"/>
            <w:gridSpan w:val="2"/>
            <w:vAlign w:val="center"/>
          </w:tcPr>
          <w:p>
            <w:r>
              <w:t>Clear</w:t>
            </w:r>
          </w:p>
        </w:tc>
        <w:tc>
          <w:tcPr>
            <w:tcW w:w="1408" w:type="dxa"/>
            <w:gridSpan w:val="2"/>
            <w:vAlign w:val="center"/>
          </w:tcPr>
          <w:p>
            <w:r/>
          </w:p>
        </w:tc>
      </w:tr>
      <w:tr w:rsidR="009967D1" w14:paraId="5F67B963" w14:textId="77777777">
        <w:trPr>
          <w:trHeight w:val="432"/>
          <w:jc w:val="center"/>
        </w:trPr>
        <w:tc>
          <w:tcPr>
            <w:tcW w:w="1150" w:type="dxa"/>
            <w:vAlign w:val="center"/>
          </w:tcPr>
          <w:p>
            <w:r>
              <w:t>BIL</w:t>
            </w:r>
          </w:p>
        </w:tc>
        <w:tc>
          <w:tcPr>
            <w:tcW w:w="2536" w:type="dxa"/>
            <w:gridSpan w:val="2"/>
            <w:vAlign w:val="center"/>
          </w:tcPr>
          <w:p>
            <w:r>
              <w:t>Bilirubin 胆红素</w:t>
            </w:r>
          </w:p>
        </w:tc>
        <w:tc>
          <w:tcPr>
            <w:tcW w:w="1754" w:type="dxa"/>
            <w:gridSpan w:val="2"/>
            <w:vAlign w:val="center"/>
          </w:tcPr>
          <w:p>
            <w:r>
              <w:t>Negative</w:t>
            </w:r>
          </w:p>
        </w:tc>
        <w:tc>
          <w:tcPr>
            <w:tcW w:w="825" w:type="dxa"/>
            <w:gridSpan w:val="2"/>
            <w:vAlign w:val="center"/>
          </w:tcPr>
          <w:p>
            <w:r/>
          </w:p>
        </w:tc>
        <w:tc>
          <w:tcPr>
            <w:tcW w:w="1980" w:type="dxa"/>
            <w:gridSpan w:val="2"/>
            <w:vAlign w:val="center"/>
          </w:tcPr>
          <w:p>
            <w:r>
              <w:t>Negative</w:t>
            </w:r>
          </w:p>
        </w:tc>
        <w:tc>
          <w:tcPr>
            <w:tcW w:w="1408" w:type="dxa"/>
            <w:gridSpan w:val="2"/>
            <w:vAlign w:val="center"/>
          </w:tcPr>
          <w:p>
            <w:r/>
          </w:p>
        </w:tc>
      </w:tr>
      <w:tr w:rsidR="009967D1" w14:paraId="5F67B963" w14:textId="77777777">
        <w:trPr>
          <w:trHeight w:val="432"/>
          <w:jc w:val="center"/>
        </w:trPr>
        <w:tc>
          <w:tcPr>
            <w:tcW w:w="1150" w:type="dxa"/>
            <w:vAlign w:val="center"/>
          </w:tcPr>
          <w:p>
            <w:r>
              <w:t>ERY</w:t>
            </w:r>
          </w:p>
        </w:tc>
        <w:tc>
          <w:tcPr>
            <w:tcW w:w="2536" w:type="dxa"/>
            <w:gridSpan w:val="2"/>
            <w:vAlign w:val="center"/>
          </w:tcPr>
          <w:p>
            <w:r>
              <w:t>Erythrocyte 红细胞</w:t>
            </w:r>
          </w:p>
        </w:tc>
        <w:tc>
          <w:tcPr>
            <w:tcW w:w="1754" w:type="dxa"/>
            <w:gridSpan w:val="2"/>
            <w:vAlign w:val="center"/>
          </w:tcPr>
          <w:p>
            <w:r>
              <w:t>Negative</w:t>
            </w:r>
          </w:p>
        </w:tc>
        <w:tc>
          <w:tcPr>
            <w:tcW w:w="825" w:type="dxa"/>
            <w:gridSpan w:val="2"/>
            <w:vAlign w:val="center"/>
          </w:tcPr>
          <w:p>
            <w:r/>
          </w:p>
        </w:tc>
        <w:tc>
          <w:tcPr>
            <w:tcW w:w="1980" w:type="dxa"/>
            <w:gridSpan w:val="2"/>
            <w:vAlign w:val="center"/>
          </w:tcPr>
          <w:p>
            <w:r>
              <w:t>Negative</w:t>
            </w:r>
          </w:p>
        </w:tc>
        <w:tc>
          <w:tcPr>
            <w:tcW w:w="1408" w:type="dxa"/>
            <w:gridSpan w:val="2"/>
            <w:vAlign w:val="center"/>
          </w:tcPr>
          <w:p>
            <w:r/>
          </w:p>
        </w:tc>
      </w:tr>
      <w:tr w:rsidR="009967D1" w14:paraId="5F67B963" w14:textId="77777777">
        <w:trPr>
          <w:trHeight w:val="432"/>
          <w:jc w:val="center"/>
        </w:trPr>
        <w:tc>
          <w:tcPr>
            <w:tcW w:w="1150" w:type="dxa"/>
            <w:vAlign w:val="center"/>
          </w:tcPr>
          <w:p>
            <w:r>
              <w:t>URO</w:t>
            </w:r>
          </w:p>
        </w:tc>
        <w:tc>
          <w:tcPr>
            <w:tcW w:w="2536" w:type="dxa"/>
            <w:gridSpan w:val="2"/>
            <w:vAlign w:val="center"/>
          </w:tcPr>
          <w:p>
            <w:r>
              <w:t>Urobilinogen 尿胆原</w:t>
            </w:r>
          </w:p>
        </w:tc>
        <w:tc>
          <w:tcPr>
            <w:tcW w:w="1754" w:type="dxa"/>
            <w:gridSpan w:val="2"/>
            <w:vAlign w:val="center"/>
          </w:tcPr>
          <w:p>
            <w:r>
              <w:t>Negative</w:t>
            </w:r>
          </w:p>
        </w:tc>
        <w:tc>
          <w:tcPr>
            <w:tcW w:w="825" w:type="dxa"/>
            <w:gridSpan w:val="2"/>
            <w:vAlign w:val="center"/>
          </w:tcPr>
          <w:p>
            <w:r/>
          </w:p>
        </w:tc>
        <w:tc>
          <w:tcPr>
            <w:tcW w:w="1980" w:type="dxa"/>
            <w:gridSpan w:val="2"/>
            <w:vAlign w:val="center"/>
          </w:tcPr>
          <w:p>
            <w:r>
              <w:t>Normal</w:t>
            </w:r>
          </w:p>
        </w:tc>
        <w:tc>
          <w:tcPr>
            <w:tcW w:w="1408" w:type="dxa"/>
            <w:gridSpan w:val="2"/>
            <w:vAlign w:val="center"/>
          </w:tcPr>
          <w:p>
            <w:r/>
          </w:p>
        </w:tc>
      </w:tr>
      <w:tr w:rsidR="009967D1" w14:paraId="5F67B963" w14:textId="77777777">
        <w:trPr>
          <w:trHeight w:val="432"/>
          <w:jc w:val="center"/>
        </w:trPr>
        <w:tc>
          <w:tcPr>
            <w:tcW w:w="1150" w:type="dxa"/>
            <w:vAlign w:val="center"/>
          </w:tcPr>
          <w:p>
            <w:r>
              <w:t>LEU</w:t>
            </w:r>
          </w:p>
        </w:tc>
        <w:tc>
          <w:tcPr>
            <w:tcW w:w="2536" w:type="dxa"/>
            <w:gridSpan w:val="2"/>
            <w:vAlign w:val="center"/>
          </w:tcPr>
          <w:p>
            <w:r>
              <w:t>Leucocyte 白细胞</w:t>
            </w:r>
          </w:p>
        </w:tc>
        <w:tc>
          <w:tcPr>
            <w:tcW w:w="1754" w:type="dxa"/>
            <w:gridSpan w:val="2"/>
            <w:vAlign w:val="center"/>
          </w:tcPr>
          <w:p>
            <w:r>
              <w:t>Negative</w:t>
            </w:r>
          </w:p>
        </w:tc>
        <w:tc>
          <w:tcPr>
            <w:tcW w:w="825" w:type="dxa"/>
            <w:gridSpan w:val="2"/>
            <w:vAlign w:val="center"/>
          </w:tcPr>
          <w:p>
            <w:r/>
          </w:p>
        </w:tc>
        <w:tc>
          <w:tcPr>
            <w:tcW w:w="1980" w:type="dxa"/>
            <w:gridSpan w:val="2"/>
            <w:vAlign w:val="center"/>
          </w:tcPr>
          <w:p>
            <w:r>
              <w:t>Negative</w:t>
            </w:r>
          </w:p>
        </w:tc>
        <w:tc>
          <w:tcPr>
            <w:tcW w:w="1408" w:type="dxa"/>
            <w:gridSpan w:val="2"/>
            <w:vAlign w:val="center"/>
          </w:tcPr>
          <w:p>
            <w:r/>
          </w:p>
        </w:tc>
      </w:tr>
      <w:tr w:rsidR="009967D1" w14:paraId="5F67B963" w14:textId="77777777">
        <w:trPr>
          <w:trHeight w:val="432"/>
          <w:jc w:val="center"/>
        </w:trPr>
        <w:tc>
          <w:tcPr>
            <w:tcW w:w="1150" w:type="dxa"/>
            <w:vAlign w:val="center"/>
          </w:tcPr>
          <w:p>
            <w:r>
              <w:t>SEC</w:t>
            </w:r>
          </w:p>
        </w:tc>
        <w:tc>
          <w:tcPr>
            <w:tcW w:w="2536" w:type="dxa"/>
            <w:gridSpan w:val="2"/>
            <w:vAlign w:val="center"/>
          </w:tcPr>
          <w:p>
            <w:r>
              <w:t>Squamous Epithelial 鳞状上皮</w:t>
            </w:r>
          </w:p>
        </w:tc>
        <w:tc>
          <w:tcPr>
            <w:tcW w:w="1754" w:type="dxa"/>
            <w:gridSpan w:val="2"/>
            <w:vAlign w:val="center"/>
          </w:tcPr>
          <w:p>
            <w:r>
              <w:t>0</w:t>
            </w:r>
          </w:p>
        </w:tc>
        <w:tc>
          <w:tcPr>
            <w:tcW w:w="825" w:type="dxa"/>
            <w:gridSpan w:val="2"/>
            <w:vAlign w:val="center"/>
          </w:tcPr>
          <w:p>
            <w:r/>
          </w:p>
        </w:tc>
        <w:tc>
          <w:tcPr>
            <w:tcW w:w="1980" w:type="dxa"/>
            <w:gridSpan w:val="2"/>
            <w:vAlign w:val="center"/>
          </w:tcPr>
          <w:p>
            <w:r>
              <w:t>0-5</w:t>
            </w:r>
          </w:p>
        </w:tc>
        <w:tc>
          <w:tcPr>
            <w:tcW w:w="1408" w:type="dxa"/>
            <w:gridSpan w:val="2"/>
            <w:vAlign w:val="center"/>
          </w:tcPr>
          <w:p>
            <w:r>
              <w:t>/HPF</w:t>
            </w:r>
          </w:p>
        </w:tc>
      </w:tr>
      <w:tr w:rsidR="009967D1" w14:paraId="5F67B963" w14:textId="77777777">
        <w:trPr>
          <w:trHeight w:val="432"/>
          <w:jc w:val="center"/>
        </w:trPr>
        <w:tc>
          <w:tcPr>
            <w:tcW w:w="1150" w:type="dxa"/>
            <w:vAlign w:val="center"/>
          </w:tcPr>
          <w:p>
            <w:r>
              <w:t>CRY</w:t>
            </w:r>
          </w:p>
        </w:tc>
        <w:tc>
          <w:tcPr>
            <w:tcW w:w="2536" w:type="dxa"/>
            <w:gridSpan w:val="2"/>
            <w:vAlign w:val="center"/>
          </w:tcPr>
          <w:p>
            <w:r>
              <w:t>Crystal 结晶</w:t>
            </w:r>
          </w:p>
        </w:tc>
        <w:tc>
          <w:tcPr>
            <w:tcW w:w="1754" w:type="dxa"/>
            <w:gridSpan w:val="2"/>
            <w:vAlign w:val="center"/>
          </w:tcPr>
          <w:p>
            <w:r>
              <w:t>2</w:t>
            </w:r>
          </w:p>
        </w:tc>
        <w:tc>
          <w:tcPr>
            <w:tcW w:w="825" w:type="dxa"/>
            <w:gridSpan w:val="2"/>
            <w:vAlign w:val="center"/>
          </w:tcPr>
          <w:p>
            <w:r/>
          </w:p>
        </w:tc>
        <w:tc>
          <w:tcPr>
            <w:tcW w:w="1980" w:type="dxa"/>
            <w:gridSpan w:val="2"/>
            <w:vAlign w:val="center"/>
          </w:tcPr>
          <w:p>
            <w:r>
              <w:t>0</w:t>
            </w:r>
          </w:p>
        </w:tc>
        <w:tc>
          <w:tcPr>
            <w:tcW w:w="1408" w:type="dxa"/>
            <w:gridSpan w:val="2"/>
            <w:vAlign w:val="center"/>
          </w:tcPr>
          <w:p>
            <w:r>
              <w:t>/HPF</w:t>
            </w:r>
          </w:p>
        </w:tc>
      </w:tr>
    </w:tbl>
    <w:p w14:paraId="095943A8" w14:textId="77777777" w:rsidR="009967D1" w:rsidRDefault="009967D1" w:rsidP="004619DA">
      <w:pPr>
        <w:pStyle w:val="0"/>
      </w:pPr>
    </w:p>
    <w:p w14:paraId="40853A34"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0799431" w14:textId="77777777">
        <w:trPr>
          <w:trHeight w:hRule="exact" w:val="113"/>
          <w:jc w:val="center"/>
        </w:trPr>
        <w:tc>
          <w:tcPr>
            <w:tcW w:w="1560" w:type="dxa"/>
            <w:gridSpan w:val="2"/>
            <w:tcBorders>
              <w:top w:val="single" w:sz="4" w:space="0" w:color="auto"/>
            </w:tcBorders>
            <w:vAlign w:val="center"/>
          </w:tcPr>
          <w:p w14:paraId="5216C33E"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E4D0002"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B06286F"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64A371E"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831391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366F95F" w14:textId="77777777" w:rsidR="009967D1" w:rsidRDefault="009967D1">
            <w:pPr>
              <w:spacing w:line="300" w:lineRule="exact"/>
              <w:jc w:val="right"/>
              <w:rPr>
                <w:color w:val="323E4F" w:themeColor="text2" w:themeShade="BF"/>
                <w:sz w:val="2"/>
                <w:szCs w:val="2"/>
              </w:rPr>
            </w:pPr>
          </w:p>
        </w:tc>
      </w:tr>
      <w:tr w:rsidR="009967D1" w14:paraId="2137D6DF" w14:textId="77777777">
        <w:trPr>
          <w:trHeight w:val="432"/>
          <w:jc w:val="center"/>
        </w:trPr>
        <w:tc>
          <w:tcPr>
            <w:tcW w:w="1150" w:type="dxa"/>
            <w:vAlign w:val="center"/>
          </w:tcPr>
          <w:p w14:paraId="6336FE2E" w14:textId="77777777" w:rsidR="009967D1" w:rsidRDefault="0080134E">
            <w:pPr>
              <w:spacing w:line="400" w:lineRule="exact"/>
              <w:jc w:val="center"/>
              <w:rPr>
                <w:b/>
                <w:bCs/>
                <w:color w:val="000000" w:themeColor="text1"/>
                <w:sz w:val="24"/>
              </w:rPr>
            </w:pPr>
            <w:r>
              <w:rPr>
                <w:rFonts w:hint="eastAsia"/>
                <w:b/>
                <w:bCs/>
                <w:color w:val="000000" w:themeColor="text1"/>
                <w:sz w:val="24"/>
              </w:rPr>
              <w:t>pH</w:t>
            </w:r>
          </w:p>
        </w:tc>
        <w:tc>
          <w:tcPr>
            <w:tcW w:w="2536" w:type="dxa"/>
            <w:gridSpan w:val="2"/>
            <w:vAlign w:val="center"/>
          </w:tcPr>
          <w:p w14:paraId="4FC21782" w14:textId="77777777" w:rsidR="009967D1" w:rsidRDefault="0080134E">
            <w:pPr>
              <w:spacing w:line="400" w:lineRule="exact"/>
              <w:jc w:val="center"/>
              <w:rPr>
                <w:b/>
                <w:bCs/>
                <w:color w:val="000000" w:themeColor="text1"/>
                <w:sz w:val="24"/>
              </w:rPr>
            </w:pPr>
            <w:r>
              <w:rPr>
                <w:rFonts w:hint="eastAsia"/>
                <w:b/>
                <w:bCs/>
                <w:color w:val="000000" w:themeColor="text1"/>
                <w:sz w:val="24"/>
              </w:rPr>
              <w:t>酸碱度</w:t>
            </w:r>
          </w:p>
        </w:tc>
        <w:tc>
          <w:tcPr>
            <w:tcW w:w="1754" w:type="dxa"/>
            <w:gridSpan w:val="2"/>
            <w:vAlign w:val="center"/>
          </w:tcPr>
          <w:p>
            <w:r>
              <w:t>{{URINE_PH_result}}</w:t>
            </w:r>
          </w:p>
        </w:tc>
        <w:tc>
          <w:tcPr>
            <w:tcW w:w="825" w:type="dxa"/>
            <w:gridSpan w:val="2"/>
            <w:vAlign w:val="center"/>
          </w:tcPr>
          <w:p>
            <w:r>
              <w:t>{{URINE_PH_point}}</w:t>
            </w:r>
          </w:p>
        </w:tc>
        <w:tc>
          <w:tcPr>
            <w:tcW w:w="1980" w:type="dxa"/>
            <w:gridSpan w:val="2"/>
            <w:vAlign w:val="center"/>
          </w:tcPr>
          <w:p>
            <w:r>
              <w:t>{{URINE_PH_refer}}</w:t>
            </w:r>
          </w:p>
        </w:tc>
        <w:tc>
          <w:tcPr>
            <w:tcW w:w="1408" w:type="dxa"/>
            <w:gridSpan w:val="2"/>
            <w:vAlign w:val="center"/>
          </w:tcPr>
          <w:p>
            <w:r>
              <w:t>{{URINE_PH_unit}}</w:t>
            </w:r>
          </w:p>
        </w:tc>
      </w:tr>
      <w:tr w:rsidR="009967D1" w14:paraId="439939AC" w14:textId="77777777">
        <w:trPr>
          <w:trHeight w:val="1651"/>
          <w:jc w:val="center"/>
        </w:trPr>
        <w:tc>
          <w:tcPr>
            <w:tcW w:w="9653" w:type="dxa"/>
            <w:gridSpan w:val="11"/>
            <w:vAlign w:val="center"/>
          </w:tcPr>
          <w:p w14:paraId="763AF117" w14:textId="77777777" w:rsidR="009967D1" w:rsidRDefault="009967D1">
            <w:pPr>
              <w:jc w:val="left"/>
              <w:rPr>
                <w:b/>
                <w:bCs/>
                <w:color w:val="404040" w:themeColor="text1" w:themeTint="BF"/>
                <w:szCs w:val="22"/>
              </w:rPr>
            </w:pPr>
          </w:p>
          <w:p w14:paraId="4E3FF584"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Reflects the acidity and alkalinity of urine, affected by diet, diseases, drugs, etc., helping to judge acid - base balance, urinary system diseases, and the impact of drugs. The normal urine pH is approximately 4.5 - 8.0, and the fluctuation is related to diet. For example, a diet rich in meat makes it more acidic, and a diet rich in vegetables makes it more alkaline.</w:t>
            </w:r>
          </w:p>
          <w:p w14:paraId="06BAB408"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反映尿液的酸碱性，受饮食、疾病、药物等影响，帮助判断酸碱平衡、泌尿系统疾病及药物影响等情况。正常尿液pH约 4.5 - 8.0，波动与饮食有关，如食肉多偏酸，食蔬菜多偏碱。</w:t>
            </w:r>
          </w:p>
        </w:tc>
      </w:tr>
    </w:tbl>
    <w:p w14:paraId="6846601C" w14:textId="77777777" w:rsidR="009967D1" w:rsidRDefault="009967D1" w:rsidP="004619DA">
      <w:pPr>
        <w:pStyle w:val="0"/>
      </w:pPr>
    </w:p>
    <w:p w14:paraId="6EE21033"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467D2CA" w14:textId="77777777">
        <w:trPr>
          <w:trHeight w:hRule="exact" w:val="113"/>
          <w:jc w:val="center"/>
        </w:trPr>
        <w:tc>
          <w:tcPr>
            <w:tcW w:w="1560" w:type="dxa"/>
            <w:gridSpan w:val="2"/>
            <w:tcBorders>
              <w:top w:val="single" w:sz="4" w:space="0" w:color="auto"/>
            </w:tcBorders>
            <w:vAlign w:val="center"/>
          </w:tcPr>
          <w:p w14:paraId="7194624B"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48BDB7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470618A"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65AD32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5629DB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34836B6" w14:textId="77777777" w:rsidR="009967D1" w:rsidRDefault="009967D1">
            <w:pPr>
              <w:spacing w:line="300" w:lineRule="exact"/>
              <w:jc w:val="right"/>
              <w:rPr>
                <w:color w:val="323E4F" w:themeColor="text2" w:themeShade="BF"/>
                <w:sz w:val="2"/>
                <w:szCs w:val="2"/>
              </w:rPr>
            </w:pPr>
          </w:p>
        </w:tc>
      </w:tr>
      <w:tr w:rsidR="009967D1" w14:paraId="4B37FD7F" w14:textId="77777777">
        <w:trPr>
          <w:trHeight w:val="432"/>
          <w:jc w:val="center"/>
        </w:trPr>
        <w:tc>
          <w:tcPr>
            <w:tcW w:w="1150" w:type="dxa"/>
            <w:vAlign w:val="center"/>
          </w:tcPr>
          <w:p w14:paraId="6E0E4DB8" w14:textId="77777777" w:rsidR="009967D1" w:rsidRDefault="0080134E">
            <w:pPr>
              <w:spacing w:line="400" w:lineRule="exact"/>
              <w:jc w:val="center"/>
              <w:rPr>
                <w:b/>
                <w:bCs/>
                <w:color w:val="000000" w:themeColor="text1"/>
                <w:sz w:val="24"/>
              </w:rPr>
            </w:pPr>
            <w:r>
              <w:rPr>
                <w:b/>
                <w:bCs/>
                <w:color w:val="000000" w:themeColor="text1"/>
                <w:sz w:val="24"/>
              </w:rPr>
              <w:t>Tu</w:t>
            </w:r>
            <w:r>
              <w:rPr>
                <w:rFonts w:hint="eastAsia"/>
                <w:b/>
                <w:bCs/>
                <w:color w:val="000000" w:themeColor="text1"/>
                <w:sz w:val="24"/>
              </w:rPr>
              <w:t>R</w:t>
            </w:r>
          </w:p>
        </w:tc>
        <w:tc>
          <w:tcPr>
            <w:tcW w:w="2536" w:type="dxa"/>
            <w:gridSpan w:val="2"/>
            <w:vAlign w:val="center"/>
          </w:tcPr>
          <w:p w14:paraId="35C890D8" w14:textId="77777777" w:rsidR="009967D1" w:rsidRDefault="0080134E">
            <w:pPr>
              <w:spacing w:line="400" w:lineRule="exact"/>
              <w:jc w:val="center"/>
              <w:rPr>
                <w:b/>
                <w:bCs/>
                <w:color w:val="000000" w:themeColor="text1"/>
                <w:sz w:val="24"/>
              </w:rPr>
            </w:pPr>
            <w:r>
              <w:rPr>
                <w:rFonts w:hint="eastAsia"/>
                <w:b/>
                <w:bCs/>
                <w:color w:val="000000" w:themeColor="text1"/>
                <w:sz w:val="24"/>
              </w:rPr>
              <w:t>浊度</w:t>
            </w:r>
          </w:p>
        </w:tc>
        <w:tc>
          <w:tcPr>
            <w:tcW w:w="1754" w:type="dxa"/>
            <w:gridSpan w:val="2"/>
            <w:vAlign w:val="center"/>
          </w:tcPr>
          <w:p>
            <w:r>
              <w:t>{{TUR_result}}</w:t>
            </w:r>
          </w:p>
        </w:tc>
        <w:tc>
          <w:tcPr>
            <w:tcW w:w="825" w:type="dxa"/>
            <w:gridSpan w:val="2"/>
            <w:vAlign w:val="center"/>
          </w:tcPr>
          <w:p>
            <w:r>
              <w:t>{{TUR_point}}</w:t>
            </w:r>
          </w:p>
        </w:tc>
        <w:tc>
          <w:tcPr>
            <w:tcW w:w="1980" w:type="dxa"/>
            <w:gridSpan w:val="2"/>
            <w:vAlign w:val="center"/>
          </w:tcPr>
          <w:p>
            <w:r>
              <w:t>{{TUR_refer}}</w:t>
            </w:r>
          </w:p>
        </w:tc>
        <w:tc>
          <w:tcPr>
            <w:tcW w:w="1408" w:type="dxa"/>
            <w:gridSpan w:val="2"/>
            <w:vAlign w:val="center"/>
          </w:tcPr>
          <w:p>
            <w:r>
              <w:t>{{TUR_unit}}</w:t>
            </w:r>
          </w:p>
        </w:tc>
      </w:tr>
      <w:tr w:rsidR="009967D1" w14:paraId="4D05DAC2" w14:textId="77777777">
        <w:trPr>
          <w:trHeight w:val="1651"/>
          <w:jc w:val="center"/>
        </w:trPr>
        <w:tc>
          <w:tcPr>
            <w:tcW w:w="9653" w:type="dxa"/>
            <w:gridSpan w:val="11"/>
            <w:vAlign w:val="center"/>
          </w:tcPr>
          <w:p w14:paraId="3E04C236" w14:textId="77777777" w:rsidR="009967D1" w:rsidRDefault="009967D1">
            <w:pPr>
              <w:jc w:val="left"/>
              <w:rPr>
                <w:b/>
                <w:bCs/>
                <w:color w:val="404040" w:themeColor="text1" w:themeTint="BF"/>
                <w:szCs w:val="22"/>
              </w:rPr>
            </w:pPr>
          </w:p>
          <w:p w14:paraId="579B599F"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Reflects the clarity and transparency of urine, assisting in judging abnormal components in the urine. Normal urine is clear and transparent, and abnormal turbidity is related to the presence of cells, crystals, bacteria, etc. in the urine.</w:t>
            </w:r>
          </w:p>
          <w:p w14:paraId="7DCA17F4" w14:textId="77777777" w:rsidR="009967D1" w:rsidRDefault="0080134E">
            <w:pPr>
              <w:jc w:val="left"/>
              <w:rPr>
                <w:rFonts w:cs="华文楷体"/>
                <w:color w:val="404040" w:themeColor="text1" w:themeTint="BF"/>
                <w:szCs w:val="22"/>
              </w:rPr>
            </w:pPr>
            <w:r>
              <w:rPr>
                <w:rFonts w:hint="eastAsia"/>
                <w:b/>
                <w:bCs/>
                <w:color w:val="404040" w:themeColor="text1" w:themeTint="BF"/>
                <w:szCs w:val="22"/>
              </w:rPr>
              <w:t>临床意义：</w:t>
            </w:r>
            <w:r>
              <w:rPr>
                <w:color w:val="404040" w:themeColor="text1" w:themeTint="BF"/>
                <w:szCs w:val="22"/>
              </w:rPr>
              <w:t>体现尿液的清澈透明程度，辅助判断尿中成分异常，正常尿液清晰透明，浊度异常与尿中含细胞、结晶、细菌等有关。</w:t>
            </w:r>
          </w:p>
        </w:tc>
      </w:tr>
    </w:tbl>
    <w:p w14:paraId="74A62CB3" w14:textId="77777777" w:rsidR="009967D1" w:rsidRDefault="009967D1" w:rsidP="004619DA">
      <w:pPr>
        <w:pStyle w:val="0"/>
      </w:pPr>
    </w:p>
    <w:p w14:paraId="260DC24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2ED868D" w14:textId="77777777">
        <w:trPr>
          <w:trHeight w:hRule="exact" w:val="113"/>
          <w:jc w:val="center"/>
        </w:trPr>
        <w:tc>
          <w:tcPr>
            <w:tcW w:w="1560" w:type="dxa"/>
            <w:gridSpan w:val="2"/>
            <w:tcBorders>
              <w:top w:val="single" w:sz="4" w:space="0" w:color="auto"/>
            </w:tcBorders>
            <w:vAlign w:val="center"/>
          </w:tcPr>
          <w:p w14:paraId="78E2927A"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71A421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5672CA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229B00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452EBD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C2D5A4A" w14:textId="77777777" w:rsidR="009967D1" w:rsidRDefault="009967D1">
            <w:pPr>
              <w:spacing w:line="300" w:lineRule="exact"/>
              <w:jc w:val="right"/>
              <w:rPr>
                <w:color w:val="323E4F" w:themeColor="text2" w:themeShade="BF"/>
                <w:sz w:val="2"/>
                <w:szCs w:val="2"/>
              </w:rPr>
            </w:pPr>
          </w:p>
        </w:tc>
      </w:tr>
      <w:tr w:rsidR="009967D1" w14:paraId="7B1FB0E1" w14:textId="77777777">
        <w:trPr>
          <w:trHeight w:val="432"/>
          <w:jc w:val="center"/>
        </w:trPr>
        <w:tc>
          <w:tcPr>
            <w:tcW w:w="1150" w:type="dxa"/>
            <w:vAlign w:val="center"/>
          </w:tcPr>
          <w:p w14:paraId="3D4F9582" w14:textId="77777777" w:rsidR="009967D1" w:rsidRDefault="0080134E">
            <w:pPr>
              <w:spacing w:line="400" w:lineRule="exact"/>
              <w:jc w:val="center"/>
              <w:rPr>
                <w:b/>
                <w:bCs/>
                <w:color w:val="000000" w:themeColor="text1"/>
                <w:sz w:val="24"/>
              </w:rPr>
            </w:pPr>
            <w:r>
              <w:rPr>
                <w:b/>
                <w:bCs/>
                <w:color w:val="000000" w:themeColor="text1"/>
                <w:sz w:val="24"/>
              </w:rPr>
              <w:t>P</w:t>
            </w:r>
            <w:r>
              <w:rPr>
                <w:rFonts w:hint="eastAsia"/>
                <w:b/>
                <w:bCs/>
                <w:color w:val="000000" w:themeColor="text1"/>
                <w:sz w:val="24"/>
              </w:rPr>
              <w:t>RO</w:t>
            </w:r>
          </w:p>
        </w:tc>
        <w:tc>
          <w:tcPr>
            <w:tcW w:w="2536" w:type="dxa"/>
            <w:gridSpan w:val="2"/>
            <w:vAlign w:val="center"/>
          </w:tcPr>
          <w:p w14:paraId="31275E3D" w14:textId="77777777" w:rsidR="009967D1" w:rsidRDefault="0080134E">
            <w:pPr>
              <w:spacing w:line="400" w:lineRule="exact"/>
              <w:jc w:val="center"/>
              <w:rPr>
                <w:b/>
                <w:bCs/>
                <w:color w:val="000000" w:themeColor="text1"/>
                <w:sz w:val="24"/>
              </w:rPr>
            </w:pPr>
            <w:r>
              <w:rPr>
                <w:rFonts w:hint="eastAsia"/>
                <w:b/>
                <w:bCs/>
                <w:color w:val="000000" w:themeColor="text1"/>
                <w:sz w:val="24"/>
              </w:rPr>
              <w:t>蛋白质</w:t>
            </w:r>
          </w:p>
        </w:tc>
        <w:tc>
          <w:tcPr>
            <w:tcW w:w="1754" w:type="dxa"/>
            <w:gridSpan w:val="2"/>
            <w:vAlign w:val="center"/>
          </w:tcPr>
          <w:p>
            <w:r>
              <w:t>{{URINE_PRO_result}}</w:t>
            </w:r>
          </w:p>
        </w:tc>
        <w:tc>
          <w:tcPr>
            <w:tcW w:w="825" w:type="dxa"/>
            <w:gridSpan w:val="2"/>
            <w:vAlign w:val="center"/>
          </w:tcPr>
          <w:p>
            <w:r>
              <w:t>{{URINE_PRO_point}}</w:t>
            </w:r>
          </w:p>
        </w:tc>
        <w:tc>
          <w:tcPr>
            <w:tcW w:w="1980" w:type="dxa"/>
            <w:gridSpan w:val="2"/>
            <w:vAlign w:val="center"/>
          </w:tcPr>
          <w:p>
            <w:r>
              <w:t>{{URINE_PRO_refer}}</w:t>
            </w:r>
          </w:p>
        </w:tc>
        <w:tc>
          <w:tcPr>
            <w:tcW w:w="1408" w:type="dxa"/>
            <w:gridSpan w:val="2"/>
            <w:vAlign w:val="center"/>
          </w:tcPr>
          <w:p>
            <w:r>
              <w:t>{{URINE_PRO_unit}}</w:t>
            </w:r>
          </w:p>
        </w:tc>
      </w:tr>
      <w:tr w:rsidR="009967D1" w14:paraId="60D80488" w14:textId="77777777">
        <w:trPr>
          <w:trHeight w:val="1651"/>
          <w:jc w:val="center"/>
        </w:trPr>
        <w:tc>
          <w:tcPr>
            <w:tcW w:w="9653" w:type="dxa"/>
            <w:gridSpan w:val="11"/>
            <w:vAlign w:val="center"/>
          </w:tcPr>
          <w:p w14:paraId="09D195F6" w14:textId="77777777" w:rsidR="009967D1" w:rsidRDefault="009967D1">
            <w:pPr>
              <w:jc w:val="left"/>
              <w:rPr>
                <w:b/>
                <w:bCs/>
                <w:color w:val="404040" w:themeColor="text1" w:themeTint="BF"/>
                <w:szCs w:val="22"/>
              </w:rPr>
            </w:pPr>
          </w:p>
          <w:p w14:paraId="4872B956"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Detects the protein content in urine, which is an important indicator for diagnosing kidney diseases and evaluating kidney damage. Normal urine protein is negative or in trace amounts.</w:t>
            </w:r>
          </w:p>
          <w:p w14:paraId="743CF035"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检测尿中蛋白质含量，是诊断肾脏疾病、评估肾脏损伤的重要指标，正常尿蛋白阴性或极微量。</w:t>
            </w:r>
          </w:p>
        </w:tc>
      </w:tr>
      <w:tr>
        <w:tc>
          <w:tcPr>
            <w:tcW w:type="dxa" w:w="1150"/>
          </w:tcPr>
          <w:p>
            <w:r>
              <w:t>eGFR</w:t>
            </w:r>
          </w:p>
        </w:tc>
        <w:tc>
          <w:tcPr>
            <w:tcW w:type="dxa" w:w="410"/>
          </w:tcPr>
          <w:p>
            <w:r>
              <w:t>eGFR(African-American)</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bl>
    <w:p w14:paraId="5A32C92B" w14:textId="77777777" w:rsidR="009967D1" w:rsidRDefault="009967D1" w:rsidP="004619DA">
      <w:pPr>
        <w:pStyle w:val="0"/>
      </w:pPr>
    </w:p>
    <w:p w14:paraId="695C68CF"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9"/>
        <w:gridCol w:w="401"/>
        <w:gridCol w:w="2079"/>
        <w:gridCol w:w="1660"/>
        <w:gridCol w:w="52"/>
        <w:gridCol w:w="781"/>
        <w:gridCol w:w="28"/>
        <w:gridCol w:w="668"/>
        <w:gridCol w:w="1268"/>
        <w:gridCol w:w="669"/>
        <w:gridCol w:w="708"/>
      </w:tblGrid>
      <w:tr w:rsidR="009967D1" w14:paraId="673DB918" w14:textId="77777777">
        <w:trPr>
          <w:trHeight w:hRule="exact" w:val="113"/>
          <w:jc w:val="center"/>
        </w:trPr>
        <w:tc>
          <w:tcPr>
            <w:tcW w:w="1560" w:type="dxa"/>
            <w:gridSpan w:val="2"/>
            <w:tcBorders>
              <w:top w:val="single" w:sz="4" w:space="0" w:color="auto"/>
            </w:tcBorders>
            <w:vAlign w:val="center"/>
          </w:tcPr>
          <w:p w14:paraId="192DC68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C2545F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CFACFCF"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D02E3F6"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2F00AD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DDCB5F9" w14:textId="77777777" w:rsidR="009967D1" w:rsidRDefault="009967D1">
            <w:pPr>
              <w:spacing w:line="300" w:lineRule="exact"/>
              <w:jc w:val="right"/>
              <w:rPr>
                <w:color w:val="323E4F" w:themeColor="text2" w:themeShade="BF"/>
                <w:sz w:val="2"/>
                <w:szCs w:val="2"/>
              </w:rPr>
            </w:pPr>
          </w:p>
        </w:tc>
      </w:tr>
      <w:tr w:rsidR="009967D1" w14:paraId="4C9A5C29" w14:textId="77777777">
        <w:trPr>
          <w:trHeight w:val="432"/>
          <w:jc w:val="center"/>
        </w:trPr>
        <w:tc>
          <w:tcPr>
            <w:tcW w:w="1150" w:type="dxa"/>
            <w:vAlign w:val="center"/>
          </w:tcPr>
          <w:p w14:paraId="45F2AAEE" w14:textId="77777777" w:rsidR="009967D1" w:rsidRDefault="0080134E">
            <w:pPr>
              <w:spacing w:line="400" w:lineRule="exact"/>
              <w:jc w:val="center"/>
              <w:rPr>
                <w:b/>
                <w:bCs/>
                <w:color w:val="000000" w:themeColor="text1"/>
                <w:sz w:val="24"/>
              </w:rPr>
            </w:pPr>
            <w:r>
              <w:rPr>
                <w:rFonts w:hint="eastAsia"/>
                <w:b/>
                <w:bCs/>
                <w:color w:val="000000" w:themeColor="text1"/>
                <w:sz w:val="24"/>
              </w:rPr>
              <w:t>BLD/ERY</w:t>
            </w:r>
          </w:p>
        </w:tc>
        <w:tc>
          <w:tcPr>
            <w:tcW w:w="2536" w:type="dxa"/>
            <w:gridSpan w:val="2"/>
            <w:vAlign w:val="center"/>
          </w:tcPr>
          <w:p w14:paraId="099444CE" w14:textId="77777777" w:rsidR="009967D1" w:rsidRDefault="0080134E">
            <w:pPr>
              <w:spacing w:line="400" w:lineRule="exact"/>
              <w:jc w:val="center"/>
              <w:rPr>
                <w:b/>
                <w:bCs/>
                <w:color w:val="000000" w:themeColor="text1"/>
                <w:sz w:val="24"/>
              </w:rPr>
            </w:pPr>
            <w:r>
              <w:rPr>
                <w:b/>
                <w:bCs/>
                <w:color w:val="000000" w:themeColor="text1"/>
                <w:sz w:val="24"/>
              </w:rPr>
              <w:t>隐血或红细胞</w:t>
            </w:r>
          </w:p>
        </w:tc>
        <w:tc>
          <w:tcPr>
            <w:tcW w:w="1754" w:type="dxa"/>
            <w:gridSpan w:val="2"/>
            <w:vAlign w:val="center"/>
          </w:tcPr>
          <w:p>
            <w:r>
              <w:t>{{BLD_ERY_result}}</w:t>
            </w:r>
          </w:p>
        </w:tc>
        <w:tc>
          <w:tcPr>
            <w:tcW w:w="825" w:type="dxa"/>
            <w:gridSpan w:val="2"/>
            <w:vAlign w:val="center"/>
          </w:tcPr>
          <w:p>
            <w:r>
              <w:t>{{BLD_ERY_point}}</w:t>
            </w:r>
          </w:p>
        </w:tc>
        <w:tc>
          <w:tcPr>
            <w:tcW w:w="1980" w:type="dxa"/>
            <w:gridSpan w:val="2"/>
            <w:vAlign w:val="center"/>
          </w:tcPr>
          <w:p>
            <w:r>
              <w:t>{{BLD_ERY_refer}}</w:t>
            </w:r>
          </w:p>
        </w:tc>
        <w:tc>
          <w:tcPr>
            <w:tcW w:w="1408" w:type="dxa"/>
            <w:gridSpan w:val="2"/>
            <w:vAlign w:val="center"/>
          </w:tcPr>
          <w:p>
            <w:r>
              <w:t>{{BLD_ERY_unit}}</w:t>
            </w:r>
          </w:p>
        </w:tc>
      </w:tr>
      <w:tr w:rsidR="009967D1" w14:paraId="7C2566C4" w14:textId="77777777">
        <w:trPr>
          <w:trHeight w:val="1651"/>
          <w:jc w:val="center"/>
        </w:trPr>
        <w:tc>
          <w:tcPr>
            <w:tcW w:w="9653" w:type="dxa"/>
            <w:gridSpan w:val="11"/>
            <w:vAlign w:val="center"/>
          </w:tcPr>
          <w:p w14:paraId="58CE72AD" w14:textId="77777777" w:rsidR="009967D1" w:rsidRDefault="009967D1">
            <w:pPr>
              <w:jc w:val="left"/>
              <w:rPr>
                <w:b/>
                <w:bCs/>
                <w:color w:val="404040" w:themeColor="text1" w:themeTint="BF"/>
                <w:szCs w:val="22"/>
              </w:rPr>
            </w:pPr>
          </w:p>
          <w:p w14:paraId="03123244"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Judges whether there are red blood cells and the destruction of red blood cells in the urine, assisting in the diagnosis of urinary system and systemic diseases. There are very few red blood cells in normal urine, and occult blood is negative.</w:t>
            </w:r>
          </w:p>
          <w:p w14:paraId="6C1EFEE4"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判断尿中是否有红细胞及红细胞破坏情况，辅助诊断泌尿系统及全身疾病，正常尿中红细胞极少，隐血阴性。</w:t>
            </w:r>
          </w:p>
        </w:tc>
      </w:tr>
    </w:tbl>
    <w:p w14:paraId="41E45A39" w14:textId="77777777" w:rsidR="009967D1" w:rsidRDefault="009967D1" w:rsidP="004619DA">
      <w:pPr>
        <w:pStyle w:val="0"/>
      </w:pPr>
    </w:p>
    <w:p w14:paraId="706621A2"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A554A84" w14:textId="77777777">
        <w:trPr>
          <w:trHeight w:hRule="exact" w:val="113"/>
          <w:jc w:val="center"/>
        </w:trPr>
        <w:tc>
          <w:tcPr>
            <w:tcW w:w="1560" w:type="dxa"/>
            <w:gridSpan w:val="2"/>
            <w:tcBorders>
              <w:top w:val="single" w:sz="4" w:space="0" w:color="auto"/>
            </w:tcBorders>
            <w:vAlign w:val="center"/>
          </w:tcPr>
          <w:p w14:paraId="1925376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3CAD49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74B6A5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33B8D9C"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EB452C5"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6D812C9" w14:textId="77777777" w:rsidR="009967D1" w:rsidRDefault="009967D1">
            <w:pPr>
              <w:spacing w:line="300" w:lineRule="exact"/>
              <w:jc w:val="right"/>
              <w:rPr>
                <w:color w:val="323E4F" w:themeColor="text2" w:themeShade="BF"/>
                <w:sz w:val="2"/>
                <w:szCs w:val="2"/>
              </w:rPr>
            </w:pPr>
          </w:p>
        </w:tc>
      </w:tr>
      <w:tr w:rsidR="009967D1" w14:paraId="5090412B" w14:textId="77777777">
        <w:trPr>
          <w:trHeight w:val="432"/>
          <w:jc w:val="center"/>
        </w:trPr>
        <w:tc>
          <w:tcPr>
            <w:tcW w:w="1150" w:type="dxa"/>
            <w:vAlign w:val="center"/>
          </w:tcPr>
          <w:p w14:paraId="251864D9" w14:textId="77777777" w:rsidR="009967D1" w:rsidRDefault="0080134E">
            <w:pPr>
              <w:spacing w:line="400" w:lineRule="exact"/>
              <w:jc w:val="center"/>
              <w:rPr>
                <w:b/>
                <w:bCs/>
                <w:color w:val="000000" w:themeColor="text1"/>
                <w:sz w:val="24"/>
              </w:rPr>
            </w:pPr>
            <w:r>
              <w:rPr>
                <w:rFonts w:hint="eastAsia"/>
                <w:b/>
                <w:bCs/>
                <w:color w:val="000000" w:themeColor="text1"/>
                <w:sz w:val="24"/>
              </w:rPr>
              <w:t>GLU</w:t>
            </w:r>
          </w:p>
        </w:tc>
        <w:tc>
          <w:tcPr>
            <w:tcW w:w="2536" w:type="dxa"/>
            <w:gridSpan w:val="2"/>
            <w:vAlign w:val="center"/>
          </w:tcPr>
          <w:p w14:paraId="33E1A9D5" w14:textId="77777777" w:rsidR="009967D1" w:rsidRDefault="0080134E">
            <w:pPr>
              <w:spacing w:line="400" w:lineRule="exact"/>
              <w:jc w:val="center"/>
              <w:rPr>
                <w:b/>
                <w:bCs/>
                <w:color w:val="000000" w:themeColor="text1"/>
                <w:sz w:val="24"/>
              </w:rPr>
            </w:pPr>
            <w:r>
              <w:rPr>
                <w:b/>
                <w:bCs/>
                <w:color w:val="000000" w:themeColor="text1"/>
                <w:sz w:val="24"/>
              </w:rPr>
              <w:t>糖</w:t>
            </w:r>
          </w:p>
        </w:tc>
        <w:tc>
          <w:tcPr>
            <w:tcW w:w="1754" w:type="dxa"/>
            <w:gridSpan w:val="2"/>
            <w:vAlign w:val="center"/>
          </w:tcPr>
          <w:p>
            <w:r>
              <w:t>{{URINE_GLU_result}}</w:t>
            </w:r>
          </w:p>
        </w:tc>
        <w:tc>
          <w:tcPr>
            <w:tcW w:w="825" w:type="dxa"/>
            <w:gridSpan w:val="2"/>
            <w:vAlign w:val="center"/>
          </w:tcPr>
          <w:p>
            <w:r>
              <w:t>{{URINE_GLU_point}}</w:t>
            </w:r>
          </w:p>
        </w:tc>
        <w:tc>
          <w:tcPr>
            <w:tcW w:w="1980" w:type="dxa"/>
            <w:gridSpan w:val="2"/>
            <w:vAlign w:val="center"/>
          </w:tcPr>
          <w:p>
            <w:r>
              <w:t>{{URINE_GLU_refer}}</w:t>
            </w:r>
          </w:p>
        </w:tc>
        <w:tc>
          <w:tcPr>
            <w:tcW w:w="1408" w:type="dxa"/>
            <w:gridSpan w:val="2"/>
            <w:vAlign w:val="center"/>
          </w:tcPr>
          <w:p>
            <w:r>
              <w:t>{{URINE_GLU_unit}}</w:t>
            </w:r>
          </w:p>
        </w:tc>
      </w:tr>
      <w:tr w:rsidR="009967D1" w14:paraId="739132B7" w14:textId="77777777">
        <w:trPr>
          <w:trHeight w:val="1651"/>
          <w:jc w:val="center"/>
        </w:trPr>
        <w:tc>
          <w:tcPr>
            <w:tcW w:w="9653" w:type="dxa"/>
            <w:gridSpan w:val="11"/>
            <w:vAlign w:val="center"/>
          </w:tcPr>
          <w:p w14:paraId="4920F905" w14:textId="77777777" w:rsidR="009967D1" w:rsidRDefault="009967D1">
            <w:pPr>
              <w:jc w:val="left"/>
              <w:rPr>
                <w:b/>
                <w:bCs/>
                <w:color w:val="404040" w:themeColor="text1" w:themeTint="BF"/>
                <w:szCs w:val="22"/>
              </w:rPr>
            </w:pPr>
          </w:p>
          <w:p w14:paraId="10FE0BF6"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Reflects the glucose content in urine, assisting in the diagnosis of diabetes and other glucose metabolism disorders. Normal urine glucose is negative.</w:t>
            </w:r>
          </w:p>
          <w:p w14:paraId="7D1D995B"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反映尿中葡萄糖含量，辅助诊断糖尿病及其他糖代谢异常疾病，正常尿糖阴性。</w:t>
            </w:r>
          </w:p>
        </w:tc>
      </w:tr>
      <w:tr>
        <w:tc>
          <w:tcPr>
            <w:tcW w:type="dxa" w:w="1150"/>
          </w:tcPr>
          <w:p>
            <w:r>
              <w:t>Rh</w:t>
            </w:r>
          </w:p>
        </w:tc>
        <w:tc>
          <w:tcPr>
            <w:tcW w:type="dxa" w:w="410"/>
          </w:tcPr>
          <w:p>
            <w:r>
              <w:t>Rh Group</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r>
        <w:tc>
          <w:tcPr>
            <w:tcW w:type="dxa" w:w="1150"/>
          </w:tcPr>
          <w:p>
            <w:r>
              <w:t>FPG</w:t>
            </w:r>
          </w:p>
        </w:tc>
        <w:tc>
          <w:tcPr>
            <w:tcW w:type="dxa" w:w="410"/>
          </w:tcPr>
          <w:p>
            <w:r>
              <w:t>Glucose(Fasting)</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r>
        <w:tc>
          <w:tcPr>
            <w:tcW w:type="dxa" w:w="1150"/>
          </w:tcPr>
          <w:p>
            <w:r>
              <w:t>EAG</w:t>
            </w:r>
          </w:p>
        </w:tc>
        <w:tc>
          <w:tcPr>
            <w:tcW w:type="dxa" w:w="410"/>
          </w:tcPr>
          <w:p>
            <w:r>
              <w:t>Estimated Average Glucose</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bl>
    <w:p w14:paraId="24537DA9" w14:textId="77777777" w:rsidR="009967D1" w:rsidRDefault="009967D1" w:rsidP="004619DA">
      <w:pPr>
        <w:pStyle w:val="0"/>
      </w:pPr>
    </w:p>
    <w:p w14:paraId="32087484"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3730CEE" w14:textId="77777777">
        <w:trPr>
          <w:trHeight w:hRule="exact" w:val="113"/>
          <w:jc w:val="center"/>
        </w:trPr>
        <w:tc>
          <w:tcPr>
            <w:tcW w:w="1560" w:type="dxa"/>
            <w:gridSpan w:val="2"/>
            <w:tcBorders>
              <w:top w:val="single" w:sz="4" w:space="0" w:color="auto"/>
            </w:tcBorders>
            <w:vAlign w:val="center"/>
          </w:tcPr>
          <w:p w14:paraId="096AC7AB"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07AAB2F"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D060F8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C8E85A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2A97EA8"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B6CAE9A" w14:textId="77777777" w:rsidR="009967D1" w:rsidRDefault="009967D1">
            <w:pPr>
              <w:spacing w:line="300" w:lineRule="exact"/>
              <w:jc w:val="right"/>
              <w:rPr>
                <w:color w:val="323E4F" w:themeColor="text2" w:themeShade="BF"/>
                <w:sz w:val="2"/>
                <w:szCs w:val="2"/>
              </w:rPr>
            </w:pPr>
          </w:p>
        </w:tc>
      </w:tr>
      <w:tr w:rsidR="009967D1" w14:paraId="3242FE38" w14:textId="77777777">
        <w:trPr>
          <w:trHeight w:val="432"/>
          <w:jc w:val="center"/>
        </w:trPr>
        <w:tc>
          <w:tcPr>
            <w:tcW w:w="1150" w:type="dxa"/>
            <w:vAlign w:val="center"/>
          </w:tcPr>
          <w:p w14:paraId="4FC3EF23" w14:textId="77777777" w:rsidR="009967D1" w:rsidRDefault="0080134E">
            <w:pPr>
              <w:spacing w:line="400" w:lineRule="exact"/>
              <w:jc w:val="center"/>
              <w:rPr>
                <w:b/>
                <w:bCs/>
                <w:color w:val="000000" w:themeColor="text1"/>
                <w:sz w:val="24"/>
              </w:rPr>
            </w:pPr>
            <w:r>
              <w:rPr>
                <w:rFonts w:hint="eastAsia"/>
                <w:b/>
                <w:bCs/>
                <w:color w:val="000000" w:themeColor="text1"/>
                <w:sz w:val="24"/>
              </w:rPr>
              <w:t>SG</w:t>
            </w:r>
          </w:p>
        </w:tc>
        <w:tc>
          <w:tcPr>
            <w:tcW w:w="2536" w:type="dxa"/>
            <w:gridSpan w:val="2"/>
            <w:vAlign w:val="center"/>
          </w:tcPr>
          <w:p w14:paraId="2AB9E20A" w14:textId="77777777" w:rsidR="009967D1" w:rsidRDefault="0080134E">
            <w:pPr>
              <w:spacing w:line="400" w:lineRule="exact"/>
              <w:jc w:val="center"/>
              <w:rPr>
                <w:b/>
                <w:bCs/>
                <w:color w:val="000000" w:themeColor="text1"/>
                <w:sz w:val="24"/>
              </w:rPr>
            </w:pPr>
            <w:r>
              <w:rPr>
                <w:rFonts w:hint="eastAsia"/>
                <w:b/>
                <w:bCs/>
                <w:color w:val="000000" w:themeColor="text1"/>
                <w:sz w:val="24"/>
              </w:rPr>
              <w:t>比重</w:t>
            </w:r>
          </w:p>
        </w:tc>
        <w:tc>
          <w:tcPr>
            <w:tcW w:w="1754" w:type="dxa"/>
            <w:gridSpan w:val="2"/>
            <w:vAlign w:val="center"/>
          </w:tcPr>
          <w:p>
            <w:r>
              <w:t>{{URINE_SG_result}}</w:t>
            </w:r>
          </w:p>
        </w:tc>
        <w:tc>
          <w:tcPr>
            <w:tcW w:w="825" w:type="dxa"/>
            <w:gridSpan w:val="2"/>
            <w:vAlign w:val="center"/>
          </w:tcPr>
          <w:p>
            <w:r>
              <w:t>{{URINE_SG_point}}</w:t>
            </w:r>
          </w:p>
        </w:tc>
        <w:tc>
          <w:tcPr>
            <w:tcW w:w="1980" w:type="dxa"/>
            <w:gridSpan w:val="2"/>
            <w:vAlign w:val="center"/>
          </w:tcPr>
          <w:p>
            <w:r>
              <w:t>{{URINE_SG_refer}}</w:t>
            </w:r>
          </w:p>
        </w:tc>
        <w:tc>
          <w:tcPr>
            <w:tcW w:w="1408" w:type="dxa"/>
            <w:gridSpan w:val="2"/>
            <w:vAlign w:val="center"/>
          </w:tcPr>
          <w:p>
            <w:r>
              <w:t>{{URINE_SG_unit}}</w:t>
            </w:r>
          </w:p>
        </w:tc>
      </w:tr>
      <w:tr w:rsidR="009967D1" w14:paraId="54B87B8A" w14:textId="77777777">
        <w:trPr>
          <w:trHeight w:val="1651"/>
          <w:jc w:val="center"/>
        </w:trPr>
        <w:tc>
          <w:tcPr>
            <w:tcW w:w="9653" w:type="dxa"/>
            <w:gridSpan w:val="11"/>
            <w:vAlign w:val="center"/>
          </w:tcPr>
          <w:p w14:paraId="4F1F7F63" w14:textId="77777777" w:rsidR="009967D1" w:rsidRDefault="009967D1">
            <w:pPr>
              <w:jc w:val="left"/>
              <w:rPr>
                <w:b/>
                <w:bCs/>
                <w:color w:val="404040" w:themeColor="text1" w:themeTint="BF"/>
                <w:szCs w:val="22"/>
              </w:rPr>
            </w:pPr>
          </w:p>
          <w:p w14:paraId="0666D907"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Reflects the concentration of solutes in urine, reflecting the kidney's concentrating and diluting functions. The normal reference value is approximately 1.003 - 1.030, affected by water intake, sweating, etc.</w:t>
            </w:r>
          </w:p>
          <w:p w14:paraId="32A08FC6"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体现尿液中溶质浓度，反映肾脏浓缩和稀释功能，正常参考值约 1.003 - 1.030，受饮水、出汗等影响。</w:t>
            </w:r>
          </w:p>
        </w:tc>
      </w:tr>
    </w:tbl>
    <w:p w14:paraId="44684A74" w14:textId="77777777" w:rsidR="009967D1" w:rsidRDefault="009967D1" w:rsidP="004619DA">
      <w:pPr>
        <w:pStyle w:val="0"/>
      </w:pPr>
    </w:p>
    <w:p w14:paraId="6FFD1E8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C48155E" w14:textId="77777777">
        <w:trPr>
          <w:trHeight w:hRule="exact" w:val="113"/>
          <w:jc w:val="center"/>
        </w:trPr>
        <w:tc>
          <w:tcPr>
            <w:tcW w:w="1560" w:type="dxa"/>
            <w:gridSpan w:val="2"/>
            <w:tcBorders>
              <w:top w:val="single" w:sz="4" w:space="0" w:color="auto"/>
            </w:tcBorders>
            <w:vAlign w:val="center"/>
          </w:tcPr>
          <w:p w14:paraId="5C8816F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BE54B4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684FAC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696131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6672EED"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F7FFE35" w14:textId="77777777" w:rsidR="009967D1" w:rsidRDefault="009967D1">
            <w:pPr>
              <w:spacing w:line="300" w:lineRule="exact"/>
              <w:jc w:val="right"/>
              <w:rPr>
                <w:color w:val="323E4F" w:themeColor="text2" w:themeShade="BF"/>
                <w:sz w:val="2"/>
                <w:szCs w:val="2"/>
              </w:rPr>
            </w:pPr>
          </w:p>
        </w:tc>
      </w:tr>
      <w:tr w:rsidR="009967D1" w14:paraId="539D7CFE" w14:textId="77777777">
        <w:trPr>
          <w:trHeight w:val="432"/>
          <w:jc w:val="center"/>
        </w:trPr>
        <w:tc>
          <w:tcPr>
            <w:tcW w:w="1150" w:type="dxa"/>
            <w:vAlign w:val="center"/>
          </w:tcPr>
          <w:p w14:paraId="64687004" w14:textId="77777777" w:rsidR="009967D1" w:rsidRDefault="0080134E">
            <w:pPr>
              <w:spacing w:line="400" w:lineRule="exact"/>
              <w:jc w:val="center"/>
              <w:rPr>
                <w:b/>
                <w:bCs/>
                <w:color w:val="000000" w:themeColor="text1"/>
                <w:sz w:val="24"/>
              </w:rPr>
            </w:pPr>
            <w:r>
              <w:rPr>
                <w:rFonts w:hint="eastAsia"/>
                <w:b/>
                <w:bCs/>
                <w:color w:val="000000" w:themeColor="text1"/>
                <w:sz w:val="24"/>
              </w:rPr>
              <w:t>WBC</w:t>
            </w:r>
          </w:p>
        </w:tc>
        <w:tc>
          <w:tcPr>
            <w:tcW w:w="2536" w:type="dxa"/>
            <w:gridSpan w:val="2"/>
            <w:vAlign w:val="center"/>
          </w:tcPr>
          <w:p w14:paraId="159E447D" w14:textId="77777777" w:rsidR="009967D1" w:rsidRDefault="0080134E">
            <w:pPr>
              <w:spacing w:line="400" w:lineRule="exact"/>
              <w:jc w:val="center"/>
              <w:rPr>
                <w:b/>
                <w:bCs/>
                <w:color w:val="000000" w:themeColor="text1"/>
                <w:sz w:val="24"/>
              </w:rPr>
            </w:pPr>
            <w:r>
              <w:rPr>
                <w:rFonts w:hint="eastAsia"/>
                <w:b/>
                <w:bCs/>
                <w:color w:val="000000" w:themeColor="text1"/>
                <w:sz w:val="24"/>
              </w:rPr>
              <w:t>白细胞</w:t>
            </w:r>
          </w:p>
        </w:tc>
        <w:tc>
          <w:tcPr>
            <w:tcW w:w="1754" w:type="dxa"/>
            <w:gridSpan w:val="2"/>
            <w:vAlign w:val="center"/>
          </w:tcPr>
          <w:p>
            <w:r>
              <w:t>{{URINE_WBC_result}}</w:t>
            </w:r>
          </w:p>
        </w:tc>
        <w:tc>
          <w:tcPr>
            <w:tcW w:w="825" w:type="dxa"/>
            <w:gridSpan w:val="2"/>
            <w:vAlign w:val="center"/>
          </w:tcPr>
          <w:p>
            <w:r>
              <w:t>{{URINE_WBC_point}}</w:t>
            </w:r>
          </w:p>
        </w:tc>
        <w:tc>
          <w:tcPr>
            <w:tcW w:w="1980" w:type="dxa"/>
            <w:gridSpan w:val="2"/>
            <w:vAlign w:val="center"/>
          </w:tcPr>
          <w:p>
            <w:r>
              <w:t>{{URINE_WBC_refer}}</w:t>
            </w:r>
          </w:p>
        </w:tc>
        <w:tc>
          <w:tcPr>
            <w:tcW w:w="1408" w:type="dxa"/>
            <w:gridSpan w:val="2"/>
            <w:vAlign w:val="center"/>
          </w:tcPr>
          <w:p>
            <w:r>
              <w:t>{{URINE_WBC_unit}}</w:t>
            </w:r>
          </w:p>
        </w:tc>
      </w:tr>
      <w:tr w:rsidR="009967D1" w14:paraId="616A3F2E" w14:textId="77777777">
        <w:trPr>
          <w:trHeight w:val="1651"/>
          <w:jc w:val="center"/>
        </w:trPr>
        <w:tc>
          <w:tcPr>
            <w:tcW w:w="9653" w:type="dxa"/>
            <w:gridSpan w:val="11"/>
            <w:vAlign w:val="center"/>
          </w:tcPr>
          <w:p w14:paraId="5BD0EF11" w14:textId="77777777" w:rsidR="009967D1" w:rsidRDefault="009967D1">
            <w:pPr>
              <w:jc w:val="left"/>
              <w:rPr>
                <w:b/>
                <w:bCs/>
                <w:color w:val="404040" w:themeColor="text1" w:themeTint="BF"/>
                <w:szCs w:val="22"/>
              </w:rPr>
            </w:pPr>
          </w:p>
          <w:p w14:paraId="7970545C"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Reflects the acidity and alkalinity of urine, affected by diet, diseases, drugs, etc., helping to judge acid - base balance, urinary system diseases, and the impact of drugs. The normal urine pH is approximately 4.5 - 8.0, and the fluctuation is related to diet. For example, a diet rich in meat makes it more acidic, and a diet rich in vegetables makes it more alkaline.</w:t>
            </w:r>
          </w:p>
          <w:p w14:paraId="656150EB"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反映尿液的酸碱性，受饮食、疾病、药物等影响，帮助判断酸碱平衡、泌尿系统疾病及药物影响等情况。正常尿液pH约 4.5 - 8.0，波动与饮食有关，如食肉多偏酸，食蔬菜多偏碱。</w:t>
            </w:r>
          </w:p>
        </w:tc>
      </w:tr>
    </w:tbl>
    <w:p w14:paraId="4406B28F" w14:textId="77777777" w:rsidR="009967D1" w:rsidRDefault="009967D1" w:rsidP="004619DA">
      <w:pPr>
        <w:pStyle w:val="0"/>
      </w:pPr>
    </w:p>
    <w:p w14:paraId="4FFCF28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5EA1A36" w14:textId="77777777">
        <w:trPr>
          <w:trHeight w:hRule="exact" w:val="113"/>
          <w:jc w:val="center"/>
        </w:trPr>
        <w:tc>
          <w:tcPr>
            <w:tcW w:w="1560" w:type="dxa"/>
            <w:gridSpan w:val="2"/>
            <w:tcBorders>
              <w:top w:val="single" w:sz="4" w:space="0" w:color="auto"/>
            </w:tcBorders>
            <w:vAlign w:val="center"/>
          </w:tcPr>
          <w:p w14:paraId="35F162C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866A963"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57CE692"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3A6644E"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162C21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4BC4684" w14:textId="77777777" w:rsidR="009967D1" w:rsidRDefault="009967D1">
            <w:pPr>
              <w:spacing w:line="300" w:lineRule="exact"/>
              <w:jc w:val="right"/>
              <w:rPr>
                <w:color w:val="323E4F" w:themeColor="text2" w:themeShade="BF"/>
                <w:sz w:val="2"/>
                <w:szCs w:val="2"/>
              </w:rPr>
            </w:pPr>
          </w:p>
        </w:tc>
      </w:tr>
      <w:tr w:rsidR="009967D1" w14:paraId="5B06025E" w14:textId="77777777">
        <w:trPr>
          <w:trHeight w:val="432"/>
          <w:jc w:val="center"/>
        </w:trPr>
        <w:tc>
          <w:tcPr>
            <w:tcW w:w="1150" w:type="dxa"/>
            <w:vAlign w:val="center"/>
          </w:tcPr>
          <w:p w14:paraId="20FC3E72" w14:textId="77777777" w:rsidR="009967D1" w:rsidRDefault="0080134E">
            <w:pPr>
              <w:spacing w:line="400" w:lineRule="exact"/>
              <w:jc w:val="center"/>
              <w:rPr>
                <w:b/>
                <w:bCs/>
                <w:color w:val="000000" w:themeColor="text1"/>
                <w:sz w:val="24"/>
              </w:rPr>
            </w:pPr>
            <w:r>
              <w:rPr>
                <w:rFonts w:hint="eastAsia"/>
                <w:b/>
                <w:bCs/>
                <w:color w:val="000000" w:themeColor="text1"/>
                <w:sz w:val="24"/>
              </w:rPr>
              <w:t>NIT</w:t>
            </w:r>
          </w:p>
        </w:tc>
        <w:tc>
          <w:tcPr>
            <w:tcW w:w="2536" w:type="dxa"/>
            <w:gridSpan w:val="2"/>
            <w:vAlign w:val="center"/>
          </w:tcPr>
          <w:p w14:paraId="07F45111" w14:textId="77777777" w:rsidR="009967D1" w:rsidRDefault="0080134E">
            <w:pPr>
              <w:spacing w:line="400" w:lineRule="exact"/>
              <w:jc w:val="center"/>
              <w:rPr>
                <w:b/>
                <w:bCs/>
                <w:color w:val="000000" w:themeColor="text1"/>
                <w:sz w:val="24"/>
              </w:rPr>
            </w:pPr>
            <w:r>
              <w:rPr>
                <w:rFonts w:hint="eastAsia"/>
                <w:b/>
                <w:bCs/>
                <w:color w:val="000000" w:themeColor="text1"/>
                <w:sz w:val="24"/>
              </w:rPr>
              <w:t>亚硝酸盐</w:t>
            </w:r>
          </w:p>
        </w:tc>
        <w:tc>
          <w:tcPr>
            <w:tcW w:w="1754" w:type="dxa"/>
            <w:gridSpan w:val="2"/>
            <w:vAlign w:val="center"/>
          </w:tcPr>
          <w:p>
            <w:r>
              <w:t>{{URINE_NIT_result}}</w:t>
            </w:r>
          </w:p>
        </w:tc>
        <w:tc>
          <w:tcPr>
            <w:tcW w:w="825" w:type="dxa"/>
            <w:gridSpan w:val="2"/>
            <w:vAlign w:val="center"/>
          </w:tcPr>
          <w:p>
            <w:r>
              <w:t>{{URINE_NIT_point}}</w:t>
            </w:r>
          </w:p>
        </w:tc>
        <w:tc>
          <w:tcPr>
            <w:tcW w:w="1980" w:type="dxa"/>
            <w:gridSpan w:val="2"/>
            <w:vAlign w:val="center"/>
          </w:tcPr>
          <w:p>
            <w:r>
              <w:t>{{URINE_NIT_refer}}</w:t>
            </w:r>
          </w:p>
        </w:tc>
        <w:tc>
          <w:tcPr>
            <w:tcW w:w="1408" w:type="dxa"/>
            <w:gridSpan w:val="2"/>
            <w:vAlign w:val="center"/>
          </w:tcPr>
          <w:p>
            <w:r>
              <w:t>{{URINE_NIT_unit}}</w:t>
            </w:r>
          </w:p>
        </w:tc>
      </w:tr>
      <w:tr w:rsidR="009967D1" w14:paraId="01F263CC" w14:textId="77777777">
        <w:trPr>
          <w:trHeight w:val="1651"/>
          <w:jc w:val="center"/>
        </w:trPr>
        <w:tc>
          <w:tcPr>
            <w:tcW w:w="9653" w:type="dxa"/>
            <w:gridSpan w:val="11"/>
            <w:vAlign w:val="center"/>
          </w:tcPr>
          <w:p w14:paraId="1095C0FE" w14:textId="77777777" w:rsidR="009967D1" w:rsidRDefault="009967D1">
            <w:pPr>
              <w:jc w:val="left"/>
              <w:rPr>
                <w:b/>
                <w:bCs/>
                <w:color w:val="404040" w:themeColor="text1" w:themeTint="BF"/>
                <w:szCs w:val="22"/>
              </w:rPr>
            </w:pPr>
          </w:p>
          <w:p w14:paraId="5C1998E1"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Assists in the diagnosis of urinary system infections, because some bacteria can reduce nitrates in the urine to nitrites. It is normally negative.</w:t>
            </w:r>
          </w:p>
          <w:p w14:paraId="5D0AC9F3"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辅助诊断泌尿系统感染，因某些细菌可将尿中硝酸盐还原为亚硝酸盐，正常阴性。</w:t>
            </w:r>
          </w:p>
        </w:tc>
      </w:tr>
    </w:tbl>
    <w:p w14:paraId="4AEB2788" w14:textId="77777777" w:rsidR="009967D1" w:rsidRDefault="009967D1" w:rsidP="004619DA">
      <w:pPr>
        <w:pStyle w:val="0"/>
      </w:pPr>
    </w:p>
    <w:p w14:paraId="3A585C82"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076F145" w14:textId="77777777">
        <w:trPr>
          <w:trHeight w:hRule="exact" w:val="113"/>
          <w:jc w:val="center"/>
        </w:trPr>
        <w:tc>
          <w:tcPr>
            <w:tcW w:w="1560" w:type="dxa"/>
            <w:gridSpan w:val="2"/>
            <w:tcBorders>
              <w:top w:val="single" w:sz="4" w:space="0" w:color="auto"/>
            </w:tcBorders>
            <w:vAlign w:val="center"/>
          </w:tcPr>
          <w:p w14:paraId="6AE1B85F"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06B09D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565B4E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9D9F17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9120DA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4A2467D" w14:textId="77777777" w:rsidR="009967D1" w:rsidRDefault="009967D1">
            <w:pPr>
              <w:spacing w:line="300" w:lineRule="exact"/>
              <w:jc w:val="right"/>
              <w:rPr>
                <w:color w:val="323E4F" w:themeColor="text2" w:themeShade="BF"/>
                <w:sz w:val="2"/>
                <w:szCs w:val="2"/>
              </w:rPr>
            </w:pPr>
          </w:p>
        </w:tc>
      </w:tr>
      <w:tr w:rsidR="009967D1" w14:paraId="3F02141D" w14:textId="77777777">
        <w:trPr>
          <w:trHeight w:val="432"/>
          <w:jc w:val="center"/>
        </w:trPr>
        <w:tc>
          <w:tcPr>
            <w:tcW w:w="1150" w:type="dxa"/>
            <w:vAlign w:val="center"/>
          </w:tcPr>
          <w:p w14:paraId="0E129EF7" w14:textId="77777777" w:rsidR="009967D1" w:rsidRDefault="0080134E">
            <w:pPr>
              <w:spacing w:line="400" w:lineRule="exact"/>
              <w:jc w:val="center"/>
              <w:rPr>
                <w:b/>
                <w:bCs/>
                <w:color w:val="000000" w:themeColor="text1"/>
                <w:sz w:val="24"/>
              </w:rPr>
            </w:pPr>
            <w:r>
              <w:rPr>
                <w:rFonts w:hint="eastAsia"/>
                <w:b/>
                <w:bCs/>
                <w:color w:val="000000" w:themeColor="text1"/>
                <w:sz w:val="24"/>
              </w:rPr>
              <w:t>KET</w:t>
            </w:r>
          </w:p>
        </w:tc>
        <w:tc>
          <w:tcPr>
            <w:tcW w:w="2536" w:type="dxa"/>
            <w:gridSpan w:val="2"/>
            <w:vAlign w:val="center"/>
          </w:tcPr>
          <w:p w14:paraId="7B69145D" w14:textId="77777777" w:rsidR="009967D1" w:rsidRDefault="0080134E">
            <w:pPr>
              <w:spacing w:line="400" w:lineRule="exact"/>
              <w:jc w:val="center"/>
              <w:rPr>
                <w:b/>
                <w:bCs/>
                <w:color w:val="000000" w:themeColor="text1"/>
                <w:sz w:val="24"/>
              </w:rPr>
            </w:pPr>
            <w:r>
              <w:rPr>
                <w:rFonts w:hint="eastAsia"/>
                <w:b/>
                <w:bCs/>
                <w:color w:val="000000" w:themeColor="text1"/>
                <w:sz w:val="24"/>
              </w:rPr>
              <w:t>酮体</w:t>
            </w:r>
          </w:p>
        </w:tc>
        <w:tc>
          <w:tcPr>
            <w:tcW w:w="1754" w:type="dxa"/>
            <w:gridSpan w:val="2"/>
            <w:vAlign w:val="center"/>
          </w:tcPr>
          <w:p>
            <w:r>
              <w:t>{{URINE_KET_result}}</w:t>
            </w:r>
          </w:p>
        </w:tc>
        <w:tc>
          <w:tcPr>
            <w:tcW w:w="825" w:type="dxa"/>
            <w:gridSpan w:val="2"/>
            <w:vAlign w:val="center"/>
          </w:tcPr>
          <w:p>
            <w:r>
              <w:t>{{URINE_KET_point}}</w:t>
            </w:r>
          </w:p>
        </w:tc>
        <w:tc>
          <w:tcPr>
            <w:tcW w:w="1980" w:type="dxa"/>
            <w:gridSpan w:val="2"/>
            <w:vAlign w:val="center"/>
          </w:tcPr>
          <w:p>
            <w:r>
              <w:t>{{URINE_KET_refer}}</w:t>
            </w:r>
          </w:p>
        </w:tc>
        <w:tc>
          <w:tcPr>
            <w:tcW w:w="1408" w:type="dxa"/>
            <w:gridSpan w:val="2"/>
            <w:vAlign w:val="center"/>
          </w:tcPr>
          <w:p>
            <w:r>
              <w:t>{{URINE_KET_unit}}</w:t>
            </w:r>
          </w:p>
        </w:tc>
      </w:tr>
      <w:tr w:rsidR="009967D1" w14:paraId="487FCF75" w14:textId="77777777">
        <w:trPr>
          <w:trHeight w:val="1651"/>
          <w:jc w:val="center"/>
        </w:trPr>
        <w:tc>
          <w:tcPr>
            <w:tcW w:w="9653" w:type="dxa"/>
            <w:gridSpan w:val="11"/>
            <w:vAlign w:val="center"/>
          </w:tcPr>
          <w:p w14:paraId="4DCA6032" w14:textId="77777777" w:rsidR="009967D1" w:rsidRDefault="009967D1">
            <w:pPr>
              <w:jc w:val="left"/>
              <w:rPr>
                <w:b/>
                <w:bCs/>
                <w:color w:val="404040" w:themeColor="text1" w:themeTint="BF"/>
                <w:szCs w:val="22"/>
              </w:rPr>
            </w:pPr>
          </w:p>
          <w:p w14:paraId="67D938D3"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Reflects the state of fat decomposition and metabolism in the body, assisting in the diagnosis of diseases such as diabetic ketoacidosis. Normal urine ketone bodies are negative.</w:t>
            </w:r>
          </w:p>
          <w:p w14:paraId="1365EE9E"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反映体内脂肪分解代谢情况，辅助诊断糖尿病酮症酸中毒等疾病，正常尿酮体阴性。</w:t>
            </w:r>
          </w:p>
        </w:tc>
      </w:tr>
    </w:tbl>
    <w:p w14:paraId="6A468DD9" w14:textId="77777777" w:rsidR="009967D1" w:rsidRDefault="009967D1" w:rsidP="004619DA">
      <w:pPr>
        <w:pStyle w:val="0"/>
        <w:sectPr w:rsidR="009967D1" w:rsidSect="00F42915">
          <w:headerReference w:type="even" r:id="rId12"/>
          <w:headerReference w:type="default" r:id="rId13"/>
          <w:footerReference w:type="default" r:id="rId14"/>
          <w:pgSz w:w="11901" w:h="16817"/>
          <w:pgMar w:top="1418" w:right="1134" w:bottom="1021" w:left="1191" w:header="850" w:footer="992" w:gutter="0"/>
          <w:cols w:space="425"/>
          <w:docGrid w:linePitch="312"/>
        </w:sectPr>
      </w:pPr>
    </w:p>
    <w:p w14:paraId="2FBCAF93" w14:textId="77777777" w:rsidR="009967D1" w:rsidRDefault="009967D1" w:rsidP="004619DA">
      <w:pPr>
        <w:pStyle w:val="0"/>
        <w:sectPr w:rsidR="009967D1">
          <w:type w:val="continuous"/>
          <w:pgSz w:w="11901" w:h="16817"/>
          <w:pgMar w:top="1418" w:right="1134" w:bottom="1021" w:left="1191" w:header="851" w:footer="992" w:gutter="0"/>
          <w:cols w:space="425"/>
          <w:docGrid w:linePitch="312"/>
        </w:sectPr>
      </w:pPr>
    </w:p>
    <w:p w14:paraId="7BF3920A" w14:textId="774B6838" w:rsidR="009967D1" w:rsidRDefault="004619DA" w:rsidP="00A642C1">
      <w:pPr>
        <w:pStyle w:val="3-"/>
      </w:pPr>
      <w:r w:rsidRPr="004619DA">
        <w:lastRenderedPageBreak/>
        <w:t>Complete Blood Count</w:t>
      </w:r>
      <w:r>
        <w:br/>
      </w:r>
      <w:r w:rsidR="0080134E">
        <w:rPr>
          <w:rFonts w:hint="eastAsia"/>
        </w:rPr>
        <w:t>血常规</w:t>
      </w:r>
    </w:p>
    <w:p w14:paraId="34A03C00" w14:textId="77777777" w:rsidR="004619DA" w:rsidRPr="004619DA" w:rsidRDefault="004619DA" w:rsidP="004619DA">
      <w:pPr>
        <w:pStyle w:val="0"/>
      </w:pPr>
    </w:p>
    <w:p w14:paraId="022A9B0E" w14:textId="34C32B6A" w:rsidR="004619DA" w:rsidRDefault="004619DA" w:rsidP="00A642C1">
      <w:pPr>
        <w:pStyle w:val="00"/>
      </w:pPr>
      <w:r w:rsidRPr="004619DA">
        <w:t>Complete Blood Count (CBC) is one of the most fundamental and essential laboratory tests in clinical practice. By evaluating red blood cells, white blood cells, hemoglobin, and platelets, it provides a comprehensive overview of hematological health. CBC not only assesses the function of hematopoiesis but also plays a critical role in identifying anemia, infections, inflammation, coagulation disorders, and hematologic diseases, making it indispensable in routine check-ups and diagnostic medicine.</w:t>
      </w:r>
    </w:p>
    <w:p w14:paraId="6C8DED6D" w14:textId="55C4071B" w:rsidR="004619DA" w:rsidRPr="004619DA" w:rsidRDefault="004619DA" w:rsidP="004619DA">
      <w:pPr>
        <w:pStyle w:val="0"/>
      </w:pPr>
      <w:r w:rsidRPr="004619DA">
        <w:t>血常规（</w:t>
      </w:r>
      <w:r w:rsidRPr="004619DA">
        <w:t>CBC</w:t>
      </w:r>
      <w:r w:rsidRPr="004619DA">
        <w:t>）是临床最基础且最重要的实验室检查之一，通过检测红细胞、白细胞、血红蛋白、血小板等多项指标，全面反映血液系统的整体健康状况。该检测不仅能够提示造血功能是否正常，还能发现贫血、感染、炎症、凝血异常及血液系统疾病等多种问题，因此在健康体检和疾病诊断中具有极高的应用价值。</w:t>
      </w:r>
    </w:p>
    <w:p w14:paraId="1BDA6A9B" w14:textId="5D125B83" w:rsidR="004619DA" w:rsidRDefault="004619DA" w:rsidP="00A642C1">
      <w:pPr>
        <w:pStyle w:val="00"/>
      </w:pPr>
      <w:r w:rsidRPr="004619DA">
        <w:t xml:space="preserve">The analysis of red blood cells and hemoglobin can help detect anemia, iron deficiency, folate or vitamin B12 deficiency, and may also indicate chronic disease or bone marrow dysfunction. White blood cell </w:t>
      </w:r>
      <w:proofErr w:type="gramStart"/>
      <w:r w:rsidRPr="004619DA">
        <w:t>count</w:t>
      </w:r>
      <w:proofErr w:type="gramEnd"/>
      <w:r w:rsidRPr="004619DA">
        <w:t xml:space="preserve"> and differential serve as essential markers of immune function, aiding in the detection of bacterial, viral, or parasitic infections, as well as allergic and autoimmune responses. Platelet parameters provide insights into coagulation status and blood viscosity, which are crucial for assessing bleeding tendencies or thrombotic risks.</w:t>
      </w:r>
    </w:p>
    <w:p w14:paraId="04B19AD4" w14:textId="1A153EA9" w:rsidR="004619DA" w:rsidRPr="004619DA" w:rsidRDefault="004619DA" w:rsidP="004619DA">
      <w:pPr>
        <w:pStyle w:val="0"/>
      </w:pPr>
      <w:r w:rsidRPr="004619DA">
        <w:t>血常规对于红细胞和血红蛋白的分析，可以发现贫血、缺铁、叶酸或维生素</w:t>
      </w:r>
      <w:r w:rsidRPr="004619DA">
        <w:t>B12</w:t>
      </w:r>
      <w:r w:rsidRPr="004619DA">
        <w:t>缺乏，甚至提示慢性疾病或骨髓功能异常。白细胞及其分类则是反映免疫系统状态的核心依据，帮助识别细菌、病毒、寄生虫感染及过敏、免疫反应等情况。血小板指标则揭示凝血功能和血液黏稠度，可用于筛查出血倾向或血栓风险。</w:t>
      </w:r>
    </w:p>
    <w:p w14:paraId="2C8D6C24" w14:textId="4FCEEC3D" w:rsidR="004619DA" w:rsidRDefault="004619DA" w:rsidP="00A642C1">
      <w:pPr>
        <w:pStyle w:val="00"/>
      </w:pPr>
      <w:r w:rsidRPr="004619DA">
        <w:t>In preventive healthcare, the value of CBC lies not only in disease detection but also in early risk assessment and health trend monitoring. By integrating multiple parameters, CBC allows the identification of hidden health concerns—such as chronic inflammation, weakened immunity, or potential hematological disorders—often before clinical symptoms appear. Regular monitoring is particularly important for individuals with chronic conditions, suboptimal health status, or those requiring close surveillance of physiological changes.</w:t>
      </w:r>
    </w:p>
    <w:p w14:paraId="453D6A8C" w14:textId="5B550D0A" w:rsidR="009E1205" w:rsidRDefault="004619DA" w:rsidP="004619DA">
      <w:pPr>
        <w:pStyle w:val="0"/>
      </w:pPr>
      <w:r w:rsidRPr="004619DA">
        <w:t>在健康管理中，血常规的价值不仅在于疾病诊断，还在于早期风险评估和健康趋势监测。通过对多项指标的综合解读，血常规能够在症状尚未明显之前发现潜在健康隐患，如慢性炎症、免疫力下降、潜在的血液疾病等。定期监测血常规结果，对于长期亚健康人群、慢性病患者以及需要密切关注体质变化的人群尤为重要。</w:t>
      </w:r>
    </w:p>
    <w:p w14:paraId="61B4B9A5" w14:textId="77777777" w:rsidR="009E1205" w:rsidRPr="004619DA" w:rsidRDefault="009E1205" w:rsidP="009E1205">
      <w:pPr>
        <w:pStyle w:val="00"/>
        <w:rPr>
          <w:rFonts w:ascii="Times New Roman" w:eastAsia="宋体" w:hAnsi="Times New Roman"/>
          <w:color w:val="323E4F" w:themeColor="text2" w:themeShade="BF"/>
          <w:sz w:val="24"/>
        </w:rPr>
      </w:pPr>
      <w:r w:rsidRPr="009E1205">
        <w:rPr>
          <w:noProof/>
        </w:rPr>
        <w:drawing>
          <wp:anchor distT="0" distB="0" distL="114300" distR="114300" simplePos="0" relativeHeight="251665408" behindDoc="0" locked="0" layoutInCell="1" allowOverlap="0" wp14:anchorId="6D42DC8F" wp14:editId="3D3E4C40">
            <wp:simplePos x="0" y="0"/>
            <wp:positionH relativeFrom="column">
              <wp:posOffset>1270</wp:posOffset>
            </wp:positionH>
            <wp:positionV relativeFrom="paragraph">
              <wp:posOffset>196215</wp:posOffset>
            </wp:positionV>
            <wp:extent cx="6079490" cy="1706880"/>
            <wp:effectExtent l="0" t="0" r="3810" b="0"/>
            <wp:wrapTopAndBottom/>
            <wp:docPr id="4950316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031668" name="图片 1"/>
                    <pic:cNvPicPr/>
                  </pic:nvPicPr>
                  <pic:blipFill>
                    <a:blip r:embed="rId15">
                      <a:extLst>
                        <a:ext uri="{28A0092B-C50C-407E-A947-70E740481C1C}">
                          <a14:useLocalDpi xmlns:a14="http://schemas.microsoft.com/office/drawing/2010/main" val="0"/>
                        </a:ext>
                      </a:extLst>
                    </a:blip>
                    <a:srcRect t="28921" b="28921"/>
                    <a:stretch>
                      <a:fillRect/>
                    </a:stretch>
                  </pic:blipFill>
                  <pic:spPr bwMode="auto">
                    <a:xfrm>
                      <a:off x="0" y="0"/>
                      <a:ext cx="6079490" cy="17068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8AEEE45" w14:textId="77777777" w:rsidR="009967D1" w:rsidRDefault="0080134E">
      <w:pPr>
        <w:widowControl/>
        <w:jc w:val="left"/>
      </w:pPr>
      <w:r>
        <w:br w:type="page"/>
      </w:r>
    </w:p>
    <w:p w14:paraId="39F77335"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2126"/>
        <w:gridCol w:w="1701"/>
        <w:gridCol w:w="53"/>
        <w:gridCol w:w="797"/>
        <w:gridCol w:w="28"/>
        <w:gridCol w:w="681"/>
        <w:gridCol w:w="1299"/>
        <w:gridCol w:w="686"/>
        <w:gridCol w:w="722"/>
      </w:tblGrid>
      <w:tr w:rsidR="009967D1" w14:paraId="41C8CB63" w14:textId="77777777">
        <w:trPr>
          <w:trHeight w:val="839"/>
          <w:jc w:val="center"/>
        </w:trPr>
        <w:tc>
          <w:tcPr>
            <w:tcW w:w="1560" w:type="dxa"/>
            <w:tcBorders>
              <w:top w:val="single" w:sz="4" w:space="0" w:color="auto"/>
              <w:bottom w:val="single" w:sz="4" w:space="0" w:color="auto"/>
            </w:tcBorders>
            <w:vAlign w:val="center"/>
          </w:tcPr>
          <w:p w14:paraId="650B7D3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126" w:type="dxa"/>
            <w:tcBorders>
              <w:top w:val="single" w:sz="4" w:space="0" w:color="auto"/>
              <w:bottom w:val="single" w:sz="4" w:space="0" w:color="auto"/>
            </w:tcBorders>
            <w:vAlign w:val="center"/>
          </w:tcPr>
          <w:p w14:paraId="04CE787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7FF0923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4B266D7F"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1C43846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653BCA32"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486554A9" w14:textId="77777777">
        <w:trPr>
          <w:trHeight w:val="1111"/>
          <w:jc w:val="center"/>
        </w:trPr>
        <w:tc>
          <w:tcPr>
            <w:tcW w:w="9653" w:type="dxa"/>
            <w:gridSpan w:val="10"/>
            <w:tcBorders>
              <w:top w:val="single" w:sz="4" w:space="0" w:color="auto"/>
              <w:bottom w:val="single" w:sz="4" w:space="0" w:color="auto"/>
            </w:tcBorders>
            <w:vAlign w:val="center"/>
          </w:tcPr>
          <w:p w14:paraId="4F2F6C08" w14:textId="4C91E994" w:rsidR="009967D1" w:rsidRDefault="00F40976">
            <w:pPr>
              <w:spacing w:line="400" w:lineRule="exact"/>
              <w:jc w:val="center"/>
              <w:rPr>
                <w:b/>
                <w:bCs/>
                <w:color w:val="323E4F" w:themeColor="text2" w:themeShade="BF"/>
                <w:sz w:val="32"/>
                <w:szCs w:val="32"/>
              </w:rPr>
            </w:pPr>
            <w:r w:rsidRPr="00F40976">
              <w:rPr>
                <w:b/>
                <w:bCs/>
                <w:color w:val="323E4F" w:themeColor="text2" w:themeShade="BF"/>
                <w:sz w:val="32"/>
                <w:szCs w:val="32"/>
              </w:rPr>
              <w:t>Complete Blood Count</w:t>
            </w:r>
          </w:p>
          <w:p w14:paraId="69504B4A"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血常规</w:t>
            </w:r>
          </w:p>
        </w:tc>
      </w:tr>
      <w:tr w:rsidR="009967D1" w14:paraId="11F381E1" w14:textId="77777777">
        <w:trPr>
          <w:trHeight w:hRule="exact" w:val="113"/>
          <w:jc w:val="center"/>
        </w:trPr>
        <w:tc>
          <w:tcPr>
            <w:tcW w:w="1560" w:type="dxa"/>
            <w:tcBorders>
              <w:top w:val="single" w:sz="4" w:space="0" w:color="auto"/>
            </w:tcBorders>
            <w:vAlign w:val="center"/>
          </w:tcPr>
          <w:p w14:paraId="726DBE1E"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723863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8E1262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08274B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7C4B806"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0D4775A" w14:textId="77777777" w:rsidR="009967D1" w:rsidRDefault="009967D1">
            <w:pPr>
              <w:spacing w:line="300" w:lineRule="exact"/>
              <w:jc w:val="right"/>
              <w:rPr>
                <w:color w:val="323E4F" w:themeColor="text2" w:themeShade="BF"/>
                <w:sz w:val="2"/>
                <w:szCs w:val="2"/>
              </w:rPr>
            </w:pPr>
          </w:p>
        </w:tc>
      </w:tr>
      <w:tr w:rsidR="009967D1" w14:paraId="6DD487FE" w14:textId="77777777">
        <w:trPr>
          <w:trHeight w:val="432"/>
          <w:jc w:val="center"/>
        </w:trPr>
        <w:tc>
          <w:tcPr>
            <w:tcW w:w="1560" w:type="dxa"/>
            <w:vAlign w:val="center"/>
          </w:tcPr>
          <w:p w14:paraId="45CA4178" w14:textId="77777777" w:rsidR="009967D1" w:rsidRDefault="0080134E">
            <w:pPr>
              <w:spacing w:line="400" w:lineRule="exact"/>
              <w:jc w:val="center"/>
              <w:rPr>
                <w:b/>
                <w:bCs/>
                <w:color w:val="000000" w:themeColor="text1"/>
                <w:sz w:val="24"/>
              </w:rPr>
            </w:pPr>
            <w:r>
              <w:rPr>
                <w:rFonts w:hint="eastAsia"/>
                <w:b/>
                <w:bCs/>
                <w:color w:val="000000" w:themeColor="text1"/>
                <w:sz w:val="24"/>
              </w:rPr>
              <w:t>Total RBC</w:t>
            </w:r>
          </w:p>
        </w:tc>
        <w:tc>
          <w:tcPr>
            <w:tcW w:w="2126" w:type="dxa"/>
            <w:vAlign w:val="center"/>
          </w:tcPr>
          <w:p w14:paraId="7B3E834A" w14:textId="77777777" w:rsidR="009967D1" w:rsidRDefault="0080134E">
            <w:pPr>
              <w:spacing w:line="400" w:lineRule="exact"/>
              <w:jc w:val="center"/>
              <w:rPr>
                <w:b/>
                <w:bCs/>
                <w:color w:val="000000" w:themeColor="text1"/>
                <w:sz w:val="24"/>
              </w:rPr>
            </w:pPr>
            <w:r>
              <w:rPr>
                <w:rFonts w:hint="eastAsia"/>
                <w:b/>
                <w:bCs/>
                <w:color w:val="000000" w:themeColor="text1"/>
                <w:sz w:val="24"/>
              </w:rPr>
              <w:t>红细胞总数</w:t>
            </w:r>
          </w:p>
        </w:tc>
        <w:tc>
          <w:tcPr>
            <w:tcW w:w="1754" w:type="dxa"/>
            <w:gridSpan w:val="2"/>
            <w:vAlign w:val="center"/>
          </w:tcPr>
          <w:p>
            <w:r>
              <w:t>{{TOTALRBC_result}}</w:t>
            </w:r>
          </w:p>
        </w:tc>
        <w:tc>
          <w:tcPr>
            <w:tcW w:w="825" w:type="dxa"/>
            <w:gridSpan w:val="2"/>
            <w:vAlign w:val="center"/>
          </w:tcPr>
          <w:p>
            <w:r>
              <w:t>{{TOTALRBC_point}}</w:t>
            </w:r>
          </w:p>
        </w:tc>
        <w:tc>
          <w:tcPr>
            <w:tcW w:w="1980" w:type="dxa"/>
            <w:gridSpan w:val="2"/>
            <w:vAlign w:val="center"/>
          </w:tcPr>
          <w:p>
            <w:r>
              <w:t>{{TOTALRBC_refer}}</w:t>
            </w:r>
          </w:p>
        </w:tc>
        <w:tc>
          <w:tcPr>
            <w:tcW w:w="1408" w:type="dxa"/>
            <w:gridSpan w:val="2"/>
            <w:vAlign w:val="center"/>
          </w:tcPr>
          <w:p>
            <w:r>
              <w:t>{{TOTALRBC_unit}}</w:t>
            </w:r>
          </w:p>
        </w:tc>
      </w:tr>
      <w:tr w:rsidR="009967D1" w14:paraId="78F45C9E" w14:textId="77777777">
        <w:trPr>
          <w:trHeight w:val="432"/>
          <w:jc w:val="center"/>
        </w:trPr>
        <w:tc>
          <w:tcPr>
            <w:tcW w:w="1560" w:type="dxa"/>
            <w:vAlign w:val="center"/>
          </w:tcPr>
          <w:p w14:paraId="0D71FF15" w14:textId="77777777" w:rsidR="009967D1" w:rsidRDefault="0080134E">
            <w:pPr>
              <w:spacing w:line="400" w:lineRule="exact"/>
              <w:jc w:val="center"/>
              <w:rPr>
                <w:b/>
                <w:bCs/>
                <w:color w:val="000000" w:themeColor="text1"/>
                <w:sz w:val="24"/>
                <w:highlight w:val="yellow"/>
              </w:rPr>
            </w:pPr>
            <w:r>
              <w:rPr>
                <w:b/>
                <w:bCs/>
                <w:color w:val="000000" w:themeColor="text1"/>
                <w:sz w:val="24"/>
              </w:rPr>
              <w:t>RBC count</w:t>
            </w:r>
          </w:p>
        </w:tc>
        <w:tc>
          <w:tcPr>
            <w:tcW w:w="2126" w:type="dxa"/>
            <w:vAlign w:val="center"/>
          </w:tcPr>
          <w:p w14:paraId="69537A01" w14:textId="77777777" w:rsidR="009967D1" w:rsidRDefault="0080134E">
            <w:pPr>
              <w:spacing w:line="400" w:lineRule="exact"/>
              <w:jc w:val="center"/>
              <w:rPr>
                <w:b/>
                <w:bCs/>
                <w:color w:val="000000" w:themeColor="text1"/>
                <w:sz w:val="24"/>
                <w:highlight w:val="yellow"/>
              </w:rPr>
            </w:pPr>
            <w:r>
              <w:rPr>
                <w:b/>
                <w:bCs/>
                <w:color w:val="000000" w:themeColor="text1"/>
                <w:sz w:val="24"/>
              </w:rPr>
              <w:t>红细胞计数</w:t>
            </w:r>
          </w:p>
        </w:tc>
        <w:tc>
          <w:tcPr>
            <w:tcW w:w="1754" w:type="dxa"/>
            <w:gridSpan w:val="2"/>
            <w:vAlign w:val="center"/>
          </w:tcPr>
          <w:p>
            <w:r>
              <w:t>{{RBCCOUNT_result}}</w:t>
            </w:r>
          </w:p>
        </w:tc>
        <w:tc>
          <w:tcPr>
            <w:tcW w:w="825" w:type="dxa"/>
            <w:gridSpan w:val="2"/>
            <w:vAlign w:val="center"/>
          </w:tcPr>
          <w:p>
            <w:r>
              <w:t>{{RBCCOUNT_point}}</w:t>
            </w:r>
          </w:p>
        </w:tc>
        <w:tc>
          <w:tcPr>
            <w:tcW w:w="1980" w:type="dxa"/>
            <w:gridSpan w:val="2"/>
            <w:vAlign w:val="center"/>
          </w:tcPr>
          <w:p>
            <w:r>
              <w:t>{{RBCCOUNT_refer}}</w:t>
            </w:r>
          </w:p>
        </w:tc>
        <w:tc>
          <w:tcPr>
            <w:tcW w:w="1408" w:type="dxa"/>
            <w:gridSpan w:val="2"/>
            <w:vAlign w:val="center"/>
          </w:tcPr>
          <w:p>
            <w:r>
              <w:t>{{RBCCOUNT_unit}}</w:t>
            </w:r>
          </w:p>
        </w:tc>
      </w:tr>
      <w:tr w:rsidR="009967D1" w14:paraId="1C370271" w14:textId="77777777">
        <w:trPr>
          <w:trHeight w:val="1651"/>
          <w:jc w:val="center"/>
        </w:trPr>
        <w:tc>
          <w:tcPr>
            <w:tcW w:w="9653" w:type="dxa"/>
            <w:gridSpan w:val="10"/>
            <w:vAlign w:val="center"/>
          </w:tcPr>
          <w:p w14:paraId="5192128F" w14:textId="77777777" w:rsidR="009967D1" w:rsidRDefault="009967D1">
            <w:pPr>
              <w:jc w:val="left"/>
              <w:rPr>
                <w:b/>
                <w:bCs/>
                <w:color w:val="404040" w:themeColor="text1" w:themeTint="BF"/>
                <w:szCs w:val="22"/>
              </w:rPr>
            </w:pPr>
          </w:p>
          <w:p w14:paraId="6BDEC6D9" w14:textId="77777777" w:rsidR="009967D1" w:rsidRDefault="0080134E">
            <w:r>
              <w:rPr>
                <w:b/>
                <w:bCs/>
              </w:rPr>
              <w:t>Clinical Significance:</w:t>
            </w:r>
            <w:r>
              <w:t xml:space="preserve"> Reflects the total number of red blood cells, is a basic indicator for judging blood diseases such as anemia and </w:t>
            </w:r>
            <w:proofErr w:type="gramStart"/>
            <w:r>
              <w:t>erythrocytosis, and</w:t>
            </w:r>
            <w:proofErr w:type="gramEnd"/>
            <w:r>
              <w:t xml:space="preserve"> is also used to evaluate oxygen - carrying capacity. The normal range for adult males is (4.0 - 5.5) × 10¹²/L, and for adult females is (3.5 - 5.0) × 10¹²/L. 2.</w:t>
            </w:r>
          </w:p>
          <w:p w14:paraId="5C7F56EF" w14:textId="77777777" w:rsidR="009967D1" w:rsidRDefault="0080134E">
            <w:pPr>
              <w:rPr>
                <w:color w:val="404040" w:themeColor="text1" w:themeTint="BF"/>
                <w:szCs w:val="22"/>
              </w:rPr>
            </w:pPr>
            <w:r>
              <w:rPr>
                <w:b/>
                <w:bCs/>
              </w:rPr>
              <w:t>临床意义：</w:t>
            </w:r>
            <w:r>
              <w:t>反映红细胞的总体数量，是判断贫血、红细胞增多症等血液疾病的基础指标，也用于评估携氧能力。正常成年男性（4.0-5.5）×10¹²/L，女性（3.5-5.0）×10¹²/L。</w:t>
            </w:r>
          </w:p>
        </w:tc>
      </w:tr>
      <w:tr w:rsidR="009967D1" w14:paraId="6DD487FE" w14:textId="77777777">
        <w:trPr>
          <w:trHeight w:val="432"/>
          <w:jc w:val="center"/>
        </w:trPr>
        <w:tc>
          <w:tcPr>
            <w:tcW w:w="1560" w:type="dxa"/>
            <w:vAlign w:val="center"/>
          </w:tcPr>
          <w:p>
            <w:r>
              <w:t>RBC</w:t>
            </w:r>
          </w:p>
        </w:tc>
        <w:tc>
          <w:tcPr>
            <w:tcW w:w="2126" w:type="dxa"/>
            <w:vAlign w:val="center"/>
          </w:tcPr>
          <w:p>
            <w:r>
              <w:t>Red Blood Cells</w:t>
            </w:r>
          </w:p>
        </w:tc>
        <w:tc>
          <w:tcPr>
            <w:tcW w:w="1754" w:type="dxa"/>
            <w:gridSpan w:val="2"/>
            <w:vAlign w:val="center"/>
          </w:tcPr>
          <w:p>
            <w:r/>
          </w:p>
        </w:tc>
        <w:tc>
          <w:tcPr>
            <w:tcW w:w="825" w:type="dxa"/>
            <w:gridSpan w:val="2"/>
            <w:vAlign w:val="center"/>
          </w:tcPr>
          <w:p>
            <w:r/>
          </w:p>
        </w:tc>
        <w:tc>
          <w:tcPr>
            <w:tcW w:w="1980" w:type="dxa"/>
            <w:gridSpan w:val="2"/>
            <w:vAlign w:val="center"/>
          </w:tcPr>
          <w:p>
            <w:r/>
          </w:p>
        </w:tc>
        <w:tc>
          <w:tcPr>
            <w:tcW w:w="1408" w:type="dxa"/>
            <w:gridSpan w:val="2"/>
            <w:vAlign w:val="center"/>
          </w:tcPr>
          <w:p>
            <w:r/>
          </w:p>
        </w:tc>
      </w:tr>
    </w:tbl>
    <w:p w14:paraId="056566F2" w14:textId="77777777" w:rsidR="009967D1" w:rsidRDefault="009967D1" w:rsidP="004619DA">
      <w:pPr>
        <w:pStyle w:val="0"/>
      </w:pPr>
    </w:p>
    <w:p w14:paraId="1E2B06BE"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C4D771A" w14:textId="77777777">
        <w:trPr>
          <w:trHeight w:hRule="exact" w:val="113"/>
          <w:jc w:val="center"/>
        </w:trPr>
        <w:tc>
          <w:tcPr>
            <w:tcW w:w="1560" w:type="dxa"/>
            <w:gridSpan w:val="2"/>
            <w:tcBorders>
              <w:top w:val="single" w:sz="4" w:space="0" w:color="auto"/>
            </w:tcBorders>
            <w:vAlign w:val="center"/>
          </w:tcPr>
          <w:p w14:paraId="73AE5CAB"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3260E6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6041A4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670F5D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69497CA"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D901A4B" w14:textId="77777777" w:rsidR="009967D1" w:rsidRDefault="009967D1">
            <w:pPr>
              <w:spacing w:line="300" w:lineRule="exact"/>
              <w:jc w:val="right"/>
              <w:rPr>
                <w:color w:val="323E4F" w:themeColor="text2" w:themeShade="BF"/>
                <w:sz w:val="2"/>
                <w:szCs w:val="2"/>
              </w:rPr>
            </w:pPr>
          </w:p>
        </w:tc>
      </w:tr>
      <w:tr w:rsidR="009967D1" w14:paraId="0BE818AB" w14:textId="77777777">
        <w:trPr>
          <w:trHeight w:val="432"/>
          <w:jc w:val="center"/>
        </w:trPr>
        <w:tc>
          <w:tcPr>
            <w:tcW w:w="1150" w:type="dxa"/>
            <w:vAlign w:val="center"/>
          </w:tcPr>
          <w:p w14:paraId="22DF01B4" w14:textId="77777777" w:rsidR="009967D1" w:rsidRDefault="0080134E">
            <w:pPr>
              <w:spacing w:line="400" w:lineRule="exact"/>
              <w:jc w:val="center"/>
              <w:rPr>
                <w:b/>
                <w:bCs/>
                <w:color w:val="000000" w:themeColor="text1"/>
                <w:sz w:val="24"/>
              </w:rPr>
            </w:pPr>
            <w:r>
              <w:rPr>
                <w:rFonts w:hint="eastAsia"/>
                <w:b/>
                <w:bCs/>
                <w:color w:val="000000" w:themeColor="text1"/>
                <w:sz w:val="24"/>
              </w:rPr>
              <w:t>Hb</w:t>
            </w:r>
          </w:p>
        </w:tc>
        <w:tc>
          <w:tcPr>
            <w:tcW w:w="2536" w:type="dxa"/>
            <w:gridSpan w:val="2"/>
            <w:vAlign w:val="center"/>
          </w:tcPr>
          <w:p w14:paraId="60512763" w14:textId="77777777" w:rsidR="009967D1" w:rsidRDefault="0080134E">
            <w:pPr>
              <w:spacing w:line="400" w:lineRule="exact"/>
              <w:jc w:val="center"/>
              <w:rPr>
                <w:b/>
                <w:bCs/>
                <w:color w:val="000000" w:themeColor="text1"/>
                <w:sz w:val="24"/>
              </w:rPr>
            </w:pPr>
            <w:r>
              <w:rPr>
                <w:rFonts w:hint="eastAsia"/>
                <w:b/>
                <w:bCs/>
                <w:color w:val="000000" w:themeColor="text1"/>
                <w:sz w:val="24"/>
              </w:rPr>
              <w:t>血红蛋白</w:t>
            </w:r>
          </w:p>
        </w:tc>
        <w:tc>
          <w:tcPr>
            <w:tcW w:w="1754" w:type="dxa"/>
            <w:gridSpan w:val="2"/>
            <w:vAlign w:val="center"/>
          </w:tcPr>
          <w:p>
            <w:r>
              <w:t>{{HB_result}}</w:t>
            </w:r>
          </w:p>
        </w:tc>
        <w:tc>
          <w:tcPr>
            <w:tcW w:w="825" w:type="dxa"/>
            <w:gridSpan w:val="2"/>
            <w:vAlign w:val="center"/>
          </w:tcPr>
          <w:p>
            <w:r>
              <w:t>{{HB_point}}</w:t>
            </w:r>
          </w:p>
        </w:tc>
        <w:tc>
          <w:tcPr>
            <w:tcW w:w="1980" w:type="dxa"/>
            <w:gridSpan w:val="2"/>
            <w:vAlign w:val="center"/>
          </w:tcPr>
          <w:p>
            <w:r>
              <w:t>{{HB_refer}}</w:t>
            </w:r>
          </w:p>
        </w:tc>
        <w:tc>
          <w:tcPr>
            <w:tcW w:w="1408" w:type="dxa"/>
            <w:gridSpan w:val="2"/>
            <w:vAlign w:val="center"/>
          </w:tcPr>
          <w:p>
            <w:r>
              <w:t>{{HB_unit}}</w:t>
            </w:r>
          </w:p>
        </w:tc>
      </w:tr>
      <w:tr w:rsidR="009967D1" w14:paraId="44DEA963" w14:textId="77777777">
        <w:trPr>
          <w:trHeight w:val="1651"/>
          <w:jc w:val="center"/>
        </w:trPr>
        <w:tc>
          <w:tcPr>
            <w:tcW w:w="9653" w:type="dxa"/>
            <w:gridSpan w:val="11"/>
            <w:vAlign w:val="center"/>
          </w:tcPr>
          <w:p w14:paraId="62071BC8" w14:textId="77777777" w:rsidR="009967D1" w:rsidRDefault="009967D1">
            <w:pPr>
              <w:jc w:val="left"/>
              <w:rPr>
                <w:b/>
                <w:bCs/>
                <w:color w:val="404040" w:themeColor="text1" w:themeTint="BF"/>
                <w:szCs w:val="22"/>
              </w:rPr>
            </w:pPr>
          </w:p>
          <w:p w14:paraId="45C1A252" w14:textId="77777777" w:rsidR="009967D1" w:rsidRDefault="0080134E">
            <w:r>
              <w:rPr>
                <w:b/>
                <w:bCs/>
              </w:rPr>
              <w:t>Clinical Significance:</w:t>
            </w:r>
            <w:r>
              <w:t xml:space="preserve"> A key indicator for evaluating anemia and oxygen - carrying capacity, which, together with the number of red blood cells, reflects the oxygen - carrying state of the blood. The normal range for adult males is 120 - 160g/L, and for adult females is 110 - 150g/L. 2.</w:t>
            </w:r>
          </w:p>
          <w:p w14:paraId="307CF563" w14:textId="77777777" w:rsidR="009967D1" w:rsidRDefault="0080134E">
            <w:pPr>
              <w:rPr>
                <w:color w:val="404040" w:themeColor="text1" w:themeTint="BF"/>
                <w:szCs w:val="22"/>
              </w:rPr>
            </w:pPr>
            <w:r>
              <w:rPr>
                <w:b/>
                <w:bCs/>
              </w:rPr>
              <w:t>临床意义：</w:t>
            </w:r>
            <w:r>
              <w:t>评估贫血及携氧能力的关键指标，与红细胞数量协同反映血液携氧状态，正常成年男性120-160g/L，女性110-150g/L。</w:t>
            </w:r>
          </w:p>
        </w:tc>
      </w:tr>
    </w:tbl>
    <w:p w14:paraId="2D150D50" w14:textId="77777777" w:rsidR="009967D1" w:rsidRDefault="009967D1" w:rsidP="004619DA">
      <w:pPr>
        <w:pStyle w:val="0"/>
      </w:pPr>
    </w:p>
    <w:p w14:paraId="1BAC8171"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B2EE632" w14:textId="77777777">
        <w:trPr>
          <w:trHeight w:hRule="exact" w:val="113"/>
          <w:jc w:val="center"/>
        </w:trPr>
        <w:tc>
          <w:tcPr>
            <w:tcW w:w="1560" w:type="dxa"/>
            <w:gridSpan w:val="2"/>
            <w:tcBorders>
              <w:top w:val="single" w:sz="4" w:space="0" w:color="auto"/>
            </w:tcBorders>
            <w:vAlign w:val="center"/>
          </w:tcPr>
          <w:p w14:paraId="43EE9B8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3D23F5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3D50BF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F395D1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6B460E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0F6E7FF" w14:textId="77777777" w:rsidR="009967D1" w:rsidRDefault="009967D1">
            <w:pPr>
              <w:spacing w:line="300" w:lineRule="exact"/>
              <w:jc w:val="right"/>
              <w:rPr>
                <w:color w:val="323E4F" w:themeColor="text2" w:themeShade="BF"/>
                <w:sz w:val="2"/>
                <w:szCs w:val="2"/>
              </w:rPr>
            </w:pPr>
          </w:p>
        </w:tc>
      </w:tr>
      <w:tr w:rsidR="009967D1" w14:paraId="36019E41" w14:textId="77777777">
        <w:trPr>
          <w:trHeight w:val="432"/>
          <w:jc w:val="center"/>
        </w:trPr>
        <w:tc>
          <w:tcPr>
            <w:tcW w:w="1150" w:type="dxa"/>
            <w:vAlign w:val="center"/>
          </w:tcPr>
          <w:p w14:paraId="1141EDB9" w14:textId="77777777" w:rsidR="009967D1" w:rsidRDefault="0080134E">
            <w:pPr>
              <w:spacing w:line="400" w:lineRule="exact"/>
              <w:jc w:val="center"/>
              <w:rPr>
                <w:b/>
                <w:bCs/>
                <w:color w:val="000000" w:themeColor="text1"/>
                <w:sz w:val="24"/>
              </w:rPr>
            </w:pPr>
            <w:r>
              <w:rPr>
                <w:rFonts w:hint="eastAsia"/>
                <w:b/>
                <w:bCs/>
                <w:color w:val="000000" w:themeColor="text1"/>
                <w:sz w:val="24"/>
              </w:rPr>
              <w:t>HCT</w:t>
            </w:r>
          </w:p>
        </w:tc>
        <w:tc>
          <w:tcPr>
            <w:tcW w:w="2536" w:type="dxa"/>
            <w:gridSpan w:val="2"/>
            <w:vAlign w:val="center"/>
          </w:tcPr>
          <w:p w14:paraId="294998B7" w14:textId="77777777" w:rsidR="009967D1" w:rsidRDefault="0080134E">
            <w:pPr>
              <w:spacing w:line="400" w:lineRule="exact"/>
              <w:jc w:val="center"/>
              <w:rPr>
                <w:b/>
                <w:bCs/>
                <w:color w:val="000000" w:themeColor="text1"/>
                <w:sz w:val="24"/>
              </w:rPr>
            </w:pPr>
            <w:r>
              <w:rPr>
                <w:rFonts w:hint="eastAsia"/>
                <w:b/>
                <w:bCs/>
                <w:color w:val="000000" w:themeColor="text1"/>
                <w:sz w:val="24"/>
              </w:rPr>
              <w:t>红细胞压积</w:t>
            </w:r>
          </w:p>
        </w:tc>
        <w:tc>
          <w:tcPr>
            <w:tcW w:w="1754" w:type="dxa"/>
            <w:gridSpan w:val="2"/>
            <w:vAlign w:val="center"/>
          </w:tcPr>
          <w:p>
            <w:r>
              <w:t>{{HCT_result}}</w:t>
            </w:r>
          </w:p>
        </w:tc>
        <w:tc>
          <w:tcPr>
            <w:tcW w:w="825" w:type="dxa"/>
            <w:gridSpan w:val="2"/>
            <w:vAlign w:val="center"/>
          </w:tcPr>
          <w:p>
            <w:r>
              <w:t>{{HCT_point}}</w:t>
            </w:r>
          </w:p>
        </w:tc>
        <w:tc>
          <w:tcPr>
            <w:tcW w:w="1980" w:type="dxa"/>
            <w:gridSpan w:val="2"/>
            <w:vAlign w:val="center"/>
          </w:tcPr>
          <w:p>
            <w:r>
              <w:t>{{HCT_refer}}</w:t>
            </w:r>
          </w:p>
        </w:tc>
        <w:tc>
          <w:tcPr>
            <w:tcW w:w="1408" w:type="dxa"/>
            <w:gridSpan w:val="2"/>
            <w:vAlign w:val="center"/>
          </w:tcPr>
          <w:p>
            <w:r>
              <w:t>{{HCT_unit}}</w:t>
            </w:r>
          </w:p>
        </w:tc>
      </w:tr>
      <w:tr w:rsidR="009967D1" w14:paraId="0B3E63E2" w14:textId="77777777">
        <w:trPr>
          <w:trHeight w:val="1651"/>
          <w:jc w:val="center"/>
        </w:trPr>
        <w:tc>
          <w:tcPr>
            <w:tcW w:w="9653" w:type="dxa"/>
            <w:gridSpan w:val="11"/>
            <w:vAlign w:val="center"/>
          </w:tcPr>
          <w:p w14:paraId="7720ED91" w14:textId="77777777" w:rsidR="009967D1" w:rsidRDefault="009967D1">
            <w:pPr>
              <w:jc w:val="left"/>
              <w:rPr>
                <w:b/>
                <w:bCs/>
                <w:color w:val="404040" w:themeColor="text1" w:themeTint="BF"/>
                <w:szCs w:val="22"/>
              </w:rPr>
            </w:pPr>
          </w:p>
          <w:p w14:paraId="4546B83B" w14:textId="77777777" w:rsidR="009967D1" w:rsidRDefault="0080134E">
            <w:r>
              <w:rPr>
                <w:b/>
                <w:bCs/>
              </w:rPr>
              <w:t xml:space="preserve">Clinical Significance: </w:t>
            </w:r>
            <w:r>
              <w:t xml:space="preserve">Refers to the percentage of volume occupied by red blood cells in whole blood, reflecting the concentration of red blood cells, assisting in the diagnosis of anemia and erythrocytosis, </w:t>
            </w:r>
            <w:proofErr w:type="gramStart"/>
            <w:r>
              <w:t>and also</w:t>
            </w:r>
            <w:proofErr w:type="gramEnd"/>
            <w:r>
              <w:t xml:space="preserve"> used in the evaluation of dehydration and other conditions. The normal range for adult males is 40% - 50%, and for adult females is 37% - 48%.</w:t>
            </w:r>
          </w:p>
          <w:p w14:paraId="45168022" w14:textId="77777777" w:rsidR="009967D1" w:rsidRDefault="0080134E">
            <w:pPr>
              <w:rPr>
                <w:color w:val="404040" w:themeColor="text1" w:themeTint="BF"/>
                <w:szCs w:val="22"/>
              </w:rPr>
            </w:pPr>
            <w:r>
              <w:rPr>
                <w:b/>
                <w:bCs/>
              </w:rPr>
              <w:t>临床意义：</w:t>
            </w:r>
            <w:r>
              <w:t>指红细胞在全血中所占体积百分比，反映红细胞的浓缩程度，辅助诊断贫血、红细胞增多症，也用于脱水等情况评估，正常成年男性40%-50%，女性37%-48%。</w:t>
            </w:r>
          </w:p>
        </w:tc>
      </w:tr>
    </w:tbl>
    <w:p w14:paraId="738A8C2C" w14:textId="77777777" w:rsidR="009967D1" w:rsidRDefault="009967D1" w:rsidP="004619DA">
      <w:pPr>
        <w:pStyle w:val="0"/>
      </w:pPr>
    </w:p>
    <w:p w14:paraId="2530613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792F013" w14:textId="77777777">
        <w:trPr>
          <w:trHeight w:hRule="exact" w:val="113"/>
          <w:jc w:val="center"/>
        </w:trPr>
        <w:tc>
          <w:tcPr>
            <w:tcW w:w="1560" w:type="dxa"/>
            <w:gridSpan w:val="2"/>
            <w:tcBorders>
              <w:top w:val="single" w:sz="4" w:space="0" w:color="auto"/>
            </w:tcBorders>
            <w:vAlign w:val="center"/>
          </w:tcPr>
          <w:p w14:paraId="4C0EE7D4"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2E0903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C09BD3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CADA19C"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C1D85F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3A9E3C0" w14:textId="77777777" w:rsidR="009967D1" w:rsidRDefault="009967D1">
            <w:pPr>
              <w:spacing w:line="300" w:lineRule="exact"/>
              <w:jc w:val="right"/>
              <w:rPr>
                <w:color w:val="323E4F" w:themeColor="text2" w:themeShade="BF"/>
                <w:sz w:val="2"/>
                <w:szCs w:val="2"/>
              </w:rPr>
            </w:pPr>
          </w:p>
        </w:tc>
      </w:tr>
      <w:tr w:rsidR="009967D1" w14:paraId="52006E51" w14:textId="77777777">
        <w:trPr>
          <w:trHeight w:val="432"/>
          <w:jc w:val="center"/>
        </w:trPr>
        <w:tc>
          <w:tcPr>
            <w:tcW w:w="1150" w:type="dxa"/>
            <w:vAlign w:val="center"/>
          </w:tcPr>
          <w:p w14:paraId="5B10F300" w14:textId="77777777" w:rsidR="009967D1" w:rsidRDefault="0080134E">
            <w:pPr>
              <w:spacing w:line="400" w:lineRule="exact"/>
              <w:jc w:val="center"/>
              <w:rPr>
                <w:b/>
                <w:bCs/>
                <w:color w:val="000000" w:themeColor="text1"/>
                <w:sz w:val="24"/>
              </w:rPr>
            </w:pPr>
            <w:r>
              <w:rPr>
                <w:rFonts w:hint="eastAsia"/>
                <w:b/>
                <w:bCs/>
                <w:color w:val="000000" w:themeColor="text1"/>
                <w:sz w:val="24"/>
              </w:rPr>
              <w:lastRenderedPageBreak/>
              <w:t>MCV</w:t>
            </w:r>
          </w:p>
        </w:tc>
        <w:tc>
          <w:tcPr>
            <w:tcW w:w="2536" w:type="dxa"/>
            <w:gridSpan w:val="2"/>
            <w:vAlign w:val="center"/>
          </w:tcPr>
          <w:p w14:paraId="344728A2" w14:textId="77777777" w:rsidR="009967D1" w:rsidRDefault="0080134E">
            <w:pPr>
              <w:spacing w:line="400" w:lineRule="exact"/>
              <w:jc w:val="center"/>
              <w:rPr>
                <w:b/>
                <w:bCs/>
                <w:color w:val="000000" w:themeColor="text1"/>
                <w:sz w:val="24"/>
              </w:rPr>
            </w:pPr>
            <w:r>
              <w:rPr>
                <w:rFonts w:hint="eastAsia"/>
                <w:b/>
                <w:bCs/>
                <w:color w:val="000000" w:themeColor="text1"/>
                <w:sz w:val="24"/>
              </w:rPr>
              <w:t>平均红细胞体积</w:t>
            </w:r>
          </w:p>
        </w:tc>
        <w:tc>
          <w:tcPr>
            <w:tcW w:w="1754" w:type="dxa"/>
            <w:gridSpan w:val="2"/>
            <w:vAlign w:val="center"/>
          </w:tcPr>
          <w:p>
            <w:r>
              <w:t>{{MCV_result}}</w:t>
            </w:r>
          </w:p>
        </w:tc>
        <w:tc>
          <w:tcPr>
            <w:tcW w:w="825" w:type="dxa"/>
            <w:gridSpan w:val="2"/>
            <w:vAlign w:val="center"/>
          </w:tcPr>
          <w:p>
            <w:r>
              <w:t>{{MCV_point}}</w:t>
            </w:r>
          </w:p>
        </w:tc>
        <w:tc>
          <w:tcPr>
            <w:tcW w:w="1980" w:type="dxa"/>
            <w:gridSpan w:val="2"/>
            <w:vAlign w:val="center"/>
          </w:tcPr>
          <w:p>
            <w:r>
              <w:t>{{MCV_refer}}</w:t>
            </w:r>
          </w:p>
        </w:tc>
        <w:tc>
          <w:tcPr>
            <w:tcW w:w="1408" w:type="dxa"/>
            <w:gridSpan w:val="2"/>
            <w:vAlign w:val="center"/>
          </w:tcPr>
          <w:p>
            <w:r>
              <w:t>{{MCV_unit}}</w:t>
            </w:r>
          </w:p>
        </w:tc>
      </w:tr>
      <w:tr w:rsidR="009967D1" w14:paraId="6B21172C" w14:textId="77777777">
        <w:trPr>
          <w:trHeight w:val="1651"/>
          <w:jc w:val="center"/>
        </w:trPr>
        <w:tc>
          <w:tcPr>
            <w:tcW w:w="9653" w:type="dxa"/>
            <w:gridSpan w:val="11"/>
            <w:vAlign w:val="center"/>
          </w:tcPr>
          <w:p w14:paraId="7594FD4D" w14:textId="77777777" w:rsidR="009967D1" w:rsidRDefault="009967D1">
            <w:pPr>
              <w:jc w:val="left"/>
              <w:rPr>
                <w:b/>
                <w:bCs/>
                <w:color w:val="404040" w:themeColor="text1" w:themeTint="BF"/>
                <w:szCs w:val="22"/>
              </w:rPr>
            </w:pPr>
          </w:p>
          <w:p w14:paraId="6FC6780B" w14:textId="77777777" w:rsidR="009967D1" w:rsidRDefault="0080134E">
            <w:r>
              <w:rPr>
                <w:b/>
                <w:bCs/>
              </w:rPr>
              <w:t>Clinical Significance:</w:t>
            </w:r>
            <w:r>
              <w:t xml:space="preserve"> Reflects the average size of red blood cells, helping to classify anemia, such as macrocytic, normocytic, and microcytic anemia. The normal range is 80 - 100fL.</w:t>
            </w:r>
          </w:p>
          <w:p w14:paraId="2BF82E9D" w14:textId="77777777" w:rsidR="009967D1" w:rsidRDefault="0080134E">
            <w:pPr>
              <w:rPr>
                <w:color w:val="404040" w:themeColor="text1" w:themeTint="BF"/>
                <w:szCs w:val="22"/>
              </w:rPr>
            </w:pPr>
            <w:r>
              <w:rPr>
                <w:b/>
                <w:bCs/>
              </w:rPr>
              <w:t>临床意义：</w:t>
            </w:r>
            <w:r>
              <w:t>反映红细胞的平均大小，帮助贫血分类，如大细胞性、正细胞性、小细胞性贫血，正常80-100fL。</w:t>
            </w:r>
          </w:p>
        </w:tc>
      </w:tr>
    </w:tbl>
    <w:p w14:paraId="6F82E087" w14:textId="77777777" w:rsidR="009967D1" w:rsidRDefault="009967D1" w:rsidP="004619DA">
      <w:pPr>
        <w:pStyle w:val="0"/>
      </w:pPr>
    </w:p>
    <w:p w14:paraId="0AEC8A51"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0FF721C" w14:textId="77777777">
        <w:trPr>
          <w:trHeight w:hRule="exact" w:val="113"/>
          <w:jc w:val="center"/>
        </w:trPr>
        <w:tc>
          <w:tcPr>
            <w:tcW w:w="1560" w:type="dxa"/>
            <w:gridSpan w:val="2"/>
            <w:tcBorders>
              <w:top w:val="single" w:sz="4" w:space="0" w:color="auto"/>
            </w:tcBorders>
            <w:vAlign w:val="center"/>
          </w:tcPr>
          <w:p w14:paraId="2F82EED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D1258EB"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3EA17E5"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6A394F1"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C95B8D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6E10165" w14:textId="77777777" w:rsidR="009967D1" w:rsidRDefault="009967D1">
            <w:pPr>
              <w:spacing w:line="300" w:lineRule="exact"/>
              <w:jc w:val="right"/>
              <w:rPr>
                <w:color w:val="323E4F" w:themeColor="text2" w:themeShade="BF"/>
                <w:sz w:val="2"/>
                <w:szCs w:val="2"/>
              </w:rPr>
            </w:pPr>
          </w:p>
        </w:tc>
      </w:tr>
      <w:tr w:rsidR="009967D1" w14:paraId="5EADCC7E" w14:textId="77777777">
        <w:trPr>
          <w:trHeight w:val="432"/>
          <w:jc w:val="center"/>
        </w:trPr>
        <w:tc>
          <w:tcPr>
            <w:tcW w:w="1150" w:type="dxa"/>
            <w:vAlign w:val="center"/>
          </w:tcPr>
          <w:p w14:paraId="52C95DBC" w14:textId="77777777" w:rsidR="009967D1" w:rsidRDefault="0080134E">
            <w:pPr>
              <w:spacing w:line="400" w:lineRule="exact"/>
              <w:jc w:val="center"/>
              <w:rPr>
                <w:b/>
                <w:bCs/>
                <w:color w:val="000000" w:themeColor="text1"/>
                <w:sz w:val="24"/>
              </w:rPr>
            </w:pPr>
            <w:r>
              <w:rPr>
                <w:rFonts w:hint="eastAsia"/>
                <w:b/>
                <w:bCs/>
                <w:color w:val="000000" w:themeColor="text1"/>
                <w:sz w:val="24"/>
              </w:rPr>
              <w:t>MCH</w:t>
            </w:r>
          </w:p>
        </w:tc>
        <w:tc>
          <w:tcPr>
            <w:tcW w:w="2536" w:type="dxa"/>
            <w:gridSpan w:val="2"/>
            <w:vAlign w:val="center"/>
          </w:tcPr>
          <w:p w14:paraId="121DCCAB" w14:textId="77777777" w:rsidR="009967D1" w:rsidRDefault="0080134E">
            <w:pPr>
              <w:spacing w:line="400" w:lineRule="exact"/>
              <w:jc w:val="center"/>
              <w:rPr>
                <w:b/>
                <w:bCs/>
                <w:color w:val="000000" w:themeColor="text1"/>
                <w:sz w:val="24"/>
              </w:rPr>
            </w:pPr>
            <w:r>
              <w:rPr>
                <w:rFonts w:hint="eastAsia"/>
                <w:b/>
                <w:bCs/>
                <w:color w:val="000000" w:themeColor="text1"/>
                <w:sz w:val="24"/>
              </w:rPr>
              <w:t>平均红细胞血红蛋白含量</w:t>
            </w:r>
          </w:p>
        </w:tc>
        <w:tc>
          <w:tcPr>
            <w:tcW w:w="1754" w:type="dxa"/>
            <w:gridSpan w:val="2"/>
            <w:vAlign w:val="center"/>
          </w:tcPr>
          <w:p>
            <w:r>
              <w:t>{{MCH_result}}</w:t>
            </w:r>
          </w:p>
        </w:tc>
        <w:tc>
          <w:tcPr>
            <w:tcW w:w="825" w:type="dxa"/>
            <w:gridSpan w:val="2"/>
            <w:vAlign w:val="center"/>
          </w:tcPr>
          <w:p>
            <w:r>
              <w:t>{{MCH_point}}</w:t>
            </w:r>
          </w:p>
        </w:tc>
        <w:tc>
          <w:tcPr>
            <w:tcW w:w="1980" w:type="dxa"/>
            <w:gridSpan w:val="2"/>
            <w:vAlign w:val="center"/>
          </w:tcPr>
          <w:p>
            <w:r>
              <w:t>{{MCH_refer}}</w:t>
            </w:r>
          </w:p>
        </w:tc>
        <w:tc>
          <w:tcPr>
            <w:tcW w:w="1408" w:type="dxa"/>
            <w:gridSpan w:val="2"/>
            <w:vAlign w:val="center"/>
          </w:tcPr>
          <w:p>
            <w:r>
              <w:t>{{MCH_unit}}</w:t>
            </w:r>
          </w:p>
        </w:tc>
      </w:tr>
      <w:tr w:rsidR="009967D1" w14:paraId="2614E514" w14:textId="77777777">
        <w:trPr>
          <w:trHeight w:val="1651"/>
          <w:jc w:val="center"/>
        </w:trPr>
        <w:tc>
          <w:tcPr>
            <w:tcW w:w="9653" w:type="dxa"/>
            <w:gridSpan w:val="11"/>
            <w:vAlign w:val="center"/>
          </w:tcPr>
          <w:p w14:paraId="4C8AED91" w14:textId="77777777" w:rsidR="009967D1" w:rsidRDefault="009967D1">
            <w:pPr>
              <w:jc w:val="left"/>
              <w:rPr>
                <w:b/>
                <w:bCs/>
                <w:color w:val="404040" w:themeColor="text1" w:themeTint="BF"/>
                <w:szCs w:val="22"/>
              </w:rPr>
            </w:pPr>
          </w:p>
          <w:p w14:paraId="08C8ADD1" w14:textId="77777777" w:rsidR="009967D1" w:rsidRDefault="0080134E">
            <w:r>
              <w:rPr>
                <w:b/>
                <w:bCs/>
              </w:rPr>
              <w:t xml:space="preserve">Clinical Significance: </w:t>
            </w:r>
            <w:r>
              <w:t>Indicates the average amount of hemoglobin contained in each red blood cell, assisting in the diagnosis and classification of anemia. The normal range is 27 - 34pg.</w:t>
            </w:r>
          </w:p>
          <w:p w14:paraId="15C0F21C" w14:textId="77777777" w:rsidR="009967D1" w:rsidRDefault="0080134E">
            <w:pPr>
              <w:rPr>
                <w:color w:val="404040" w:themeColor="text1" w:themeTint="BF"/>
                <w:szCs w:val="22"/>
              </w:rPr>
            </w:pPr>
            <w:r>
              <w:rPr>
                <w:b/>
                <w:bCs/>
              </w:rPr>
              <w:t>临床意义：</w:t>
            </w:r>
            <w:r>
              <w:t>表示每个红细胞内平均所含血红蛋白的量，辅助贫血诊断与分类，正常27-34pg。</w:t>
            </w:r>
          </w:p>
        </w:tc>
      </w:tr>
    </w:tbl>
    <w:p w14:paraId="0AA4FFFE" w14:textId="77777777" w:rsidR="009967D1" w:rsidRDefault="009967D1" w:rsidP="004619DA">
      <w:pPr>
        <w:pStyle w:val="0"/>
      </w:pPr>
    </w:p>
    <w:p w14:paraId="76FD70F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6666FF0" w14:textId="77777777">
        <w:trPr>
          <w:trHeight w:hRule="exact" w:val="113"/>
          <w:jc w:val="center"/>
        </w:trPr>
        <w:tc>
          <w:tcPr>
            <w:tcW w:w="1560" w:type="dxa"/>
            <w:gridSpan w:val="2"/>
            <w:tcBorders>
              <w:top w:val="single" w:sz="4" w:space="0" w:color="auto"/>
            </w:tcBorders>
            <w:vAlign w:val="center"/>
          </w:tcPr>
          <w:p w14:paraId="73E293D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64E3AC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230D90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701BB80"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88309ED"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6207647" w14:textId="77777777" w:rsidR="009967D1" w:rsidRDefault="009967D1">
            <w:pPr>
              <w:spacing w:line="300" w:lineRule="exact"/>
              <w:jc w:val="right"/>
              <w:rPr>
                <w:color w:val="323E4F" w:themeColor="text2" w:themeShade="BF"/>
                <w:sz w:val="2"/>
                <w:szCs w:val="2"/>
              </w:rPr>
            </w:pPr>
          </w:p>
        </w:tc>
      </w:tr>
      <w:tr w:rsidR="009967D1" w14:paraId="7DA5BA49" w14:textId="77777777">
        <w:trPr>
          <w:trHeight w:val="432"/>
          <w:jc w:val="center"/>
        </w:trPr>
        <w:tc>
          <w:tcPr>
            <w:tcW w:w="1150" w:type="dxa"/>
            <w:vAlign w:val="center"/>
          </w:tcPr>
          <w:p w14:paraId="32E1247A" w14:textId="77777777" w:rsidR="009967D1" w:rsidRDefault="0080134E">
            <w:pPr>
              <w:spacing w:line="400" w:lineRule="exact"/>
              <w:jc w:val="center"/>
              <w:rPr>
                <w:b/>
                <w:bCs/>
                <w:color w:val="000000" w:themeColor="text1"/>
                <w:sz w:val="24"/>
              </w:rPr>
            </w:pPr>
            <w:r>
              <w:rPr>
                <w:rFonts w:hint="eastAsia"/>
                <w:b/>
                <w:bCs/>
                <w:color w:val="000000" w:themeColor="text1"/>
                <w:sz w:val="24"/>
              </w:rPr>
              <w:t>MCHC</w:t>
            </w:r>
          </w:p>
        </w:tc>
        <w:tc>
          <w:tcPr>
            <w:tcW w:w="2536" w:type="dxa"/>
            <w:gridSpan w:val="2"/>
            <w:vAlign w:val="center"/>
          </w:tcPr>
          <w:p w14:paraId="02413171" w14:textId="77777777" w:rsidR="009967D1" w:rsidRDefault="0080134E">
            <w:pPr>
              <w:spacing w:line="400" w:lineRule="exact"/>
              <w:jc w:val="center"/>
              <w:rPr>
                <w:b/>
                <w:bCs/>
                <w:color w:val="000000" w:themeColor="text1"/>
                <w:sz w:val="24"/>
              </w:rPr>
            </w:pPr>
            <w:r>
              <w:rPr>
                <w:rFonts w:hint="eastAsia"/>
                <w:b/>
                <w:bCs/>
                <w:color w:val="000000" w:themeColor="text1"/>
                <w:sz w:val="24"/>
              </w:rPr>
              <w:t>平均红细胞血红蛋白浓度</w:t>
            </w:r>
          </w:p>
        </w:tc>
        <w:tc>
          <w:tcPr>
            <w:tcW w:w="1754" w:type="dxa"/>
            <w:gridSpan w:val="2"/>
            <w:vAlign w:val="center"/>
          </w:tcPr>
          <w:p>
            <w:r>
              <w:t>{{MCHC_result}}</w:t>
            </w:r>
          </w:p>
        </w:tc>
        <w:tc>
          <w:tcPr>
            <w:tcW w:w="825" w:type="dxa"/>
            <w:gridSpan w:val="2"/>
            <w:vAlign w:val="center"/>
          </w:tcPr>
          <w:p>
            <w:r>
              <w:t>{{MCHC_point}}</w:t>
            </w:r>
          </w:p>
        </w:tc>
        <w:tc>
          <w:tcPr>
            <w:tcW w:w="1980" w:type="dxa"/>
            <w:gridSpan w:val="2"/>
            <w:vAlign w:val="center"/>
          </w:tcPr>
          <w:p>
            <w:r>
              <w:t>{{MCHC_refer}}</w:t>
            </w:r>
          </w:p>
        </w:tc>
        <w:tc>
          <w:tcPr>
            <w:tcW w:w="1408" w:type="dxa"/>
            <w:gridSpan w:val="2"/>
            <w:vAlign w:val="center"/>
          </w:tcPr>
          <w:p>
            <w:r>
              <w:t>{{MCHC_unit}}</w:t>
            </w:r>
          </w:p>
        </w:tc>
      </w:tr>
      <w:tr w:rsidR="009967D1" w14:paraId="48B2A60E" w14:textId="77777777">
        <w:trPr>
          <w:trHeight w:val="1651"/>
          <w:jc w:val="center"/>
        </w:trPr>
        <w:tc>
          <w:tcPr>
            <w:tcW w:w="9653" w:type="dxa"/>
            <w:gridSpan w:val="11"/>
            <w:vAlign w:val="center"/>
          </w:tcPr>
          <w:p w14:paraId="59E886C4" w14:textId="77777777" w:rsidR="009967D1" w:rsidRDefault="009967D1">
            <w:pPr>
              <w:jc w:val="left"/>
              <w:rPr>
                <w:b/>
                <w:bCs/>
                <w:color w:val="404040" w:themeColor="text1" w:themeTint="BF"/>
                <w:szCs w:val="22"/>
              </w:rPr>
            </w:pPr>
          </w:p>
          <w:p w14:paraId="4886FDF8" w14:textId="77777777" w:rsidR="009967D1" w:rsidRDefault="0080134E">
            <w:r>
              <w:rPr>
                <w:b/>
                <w:bCs/>
              </w:rPr>
              <w:t>Clinical Significance:</w:t>
            </w:r>
            <w:r>
              <w:t xml:space="preserve"> Reflects the concentration of hemoglobin in red blood cells, used for anemia classification. The normal range is 320 - 360g/L.</w:t>
            </w:r>
          </w:p>
          <w:p w14:paraId="7DC9FB17" w14:textId="77777777" w:rsidR="009967D1" w:rsidRDefault="0080134E">
            <w:pPr>
              <w:rPr>
                <w:color w:val="404040" w:themeColor="text1" w:themeTint="BF"/>
                <w:szCs w:val="22"/>
              </w:rPr>
            </w:pPr>
            <w:r>
              <w:rPr>
                <w:b/>
                <w:bCs/>
              </w:rPr>
              <w:t>临床意义：</w:t>
            </w:r>
            <w:r>
              <w:t>反映红细胞内血红蛋白的浓度，用于贫血分类，正常320-360g/L。</w:t>
            </w:r>
          </w:p>
        </w:tc>
      </w:tr>
    </w:tbl>
    <w:p w14:paraId="089934F1" w14:textId="77777777" w:rsidR="009967D1" w:rsidRDefault="009967D1" w:rsidP="004619DA">
      <w:pPr>
        <w:pStyle w:val="0"/>
      </w:pPr>
    </w:p>
    <w:p w14:paraId="7890AA7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7369E9E" w14:textId="77777777">
        <w:trPr>
          <w:trHeight w:hRule="exact" w:val="113"/>
          <w:jc w:val="center"/>
        </w:trPr>
        <w:tc>
          <w:tcPr>
            <w:tcW w:w="1560" w:type="dxa"/>
            <w:gridSpan w:val="2"/>
            <w:tcBorders>
              <w:top w:val="single" w:sz="4" w:space="0" w:color="auto"/>
            </w:tcBorders>
            <w:vAlign w:val="center"/>
          </w:tcPr>
          <w:p w14:paraId="60E8517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B8987DC"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62DF004"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B5DB546"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50026F5"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1E34763" w14:textId="77777777" w:rsidR="009967D1" w:rsidRDefault="009967D1">
            <w:pPr>
              <w:spacing w:line="300" w:lineRule="exact"/>
              <w:jc w:val="right"/>
              <w:rPr>
                <w:color w:val="323E4F" w:themeColor="text2" w:themeShade="BF"/>
                <w:sz w:val="2"/>
                <w:szCs w:val="2"/>
              </w:rPr>
            </w:pPr>
          </w:p>
        </w:tc>
      </w:tr>
      <w:tr w:rsidR="009967D1" w14:paraId="1BD91D71" w14:textId="77777777">
        <w:trPr>
          <w:trHeight w:val="432"/>
          <w:jc w:val="center"/>
        </w:trPr>
        <w:tc>
          <w:tcPr>
            <w:tcW w:w="1150" w:type="dxa"/>
            <w:vAlign w:val="center"/>
          </w:tcPr>
          <w:p w14:paraId="357004B1" w14:textId="77777777" w:rsidR="009967D1" w:rsidRDefault="0080134E">
            <w:pPr>
              <w:spacing w:line="400" w:lineRule="exact"/>
              <w:jc w:val="center"/>
              <w:rPr>
                <w:b/>
                <w:bCs/>
                <w:color w:val="000000" w:themeColor="text1"/>
                <w:sz w:val="24"/>
              </w:rPr>
            </w:pPr>
            <w:r>
              <w:rPr>
                <w:rFonts w:hint="eastAsia"/>
                <w:b/>
                <w:bCs/>
                <w:color w:val="000000" w:themeColor="text1"/>
                <w:sz w:val="24"/>
              </w:rPr>
              <w:t>RDW</w:t>
            </w:r>
          </w:p>
        </w:tc>
        <w:tc>
          <w:tcPr>
            <w:tcW w:w="2536" w:type="dxa"/>
            <w:gridSpan w:val="2"/>
            <w:vAlign w:val="center"/>
          </w:tcPr>
          <w:p w14:paraId="2570C65B" w14:textId="77777777" w:rsidR="009967D1" w:rsidRDefault="0080134E">
            <w:pPr>
              <w:spacing w:line="400" w:lineRule="exact"/>
              <w:jc w:val="center"/>
              <w:rPr>
                <w:b/>
                <w:bCs/>
                <w:color w:val="000000" w:themeColor="text1"/>
                <w:sz w:val="24"/>
              </w:rPr>
            </w:pPr>
            <w:r>
              <w:rPr>
                <w:rFonts w:hint="eastAsia"/>
                <w:b/>
                <w:bCs/>
                <w:color w:val="000000" w:themeColor="text1"/>
                <w:sz w:val="24"/>
              </w:rPr>
              <w:t>红细胞体积分布宽度</w:t>
            </w:r>
          </w:p>
        </w:tc>
        <w:tc>
          <w:tcPr>
            <w:tcW w:w="1754" w:type="dxa"/>
            <w:gridSpan w:val="2"/>
            <w:vAlign w:val="center"/>
          </w:tcPr>
          <w:p>
            <w:r>
              <w:t>{{RDW_result}}</w:t>
            </w:r>
          </w:p>
        </w:tc>
        <w:tc>
          <w:tcPr>
            <w:tcW w:w="825" w:type="dxa"/>
            <w:gridSpan w:val="2"/>
            <w:vAlign w:val="center"/>
          </w:tcPr>
          <w:p>
            <w:r>
              <w:t>{{RDW_point}}</w:t>
            </w:r>
          </w:p>
        </w:tc>
        <w:tc>
          <w:tcPr>
            <w:tcW w:w="1980" w:type="dxa"/>
            <w:gridSpan w:val="2"/>
            <w:vAlign w:val="center"/>
          </w:tcPr>
          <w:p>
            <w:r>
              <w:t>{{RDW_refer}}</w:t>
            </w:r>
          </w:p>
        </w:tc>
        <w:tc>
          <w:tcPr>
            <w:tcW w:w="1408" w:type="dxa"/>
            <w:gridSpan w:val="2"/>
            <w:vAlign w:val="center"/>
          </w:tcPr>
          <w:p>
            <w:r>
              <w:t>{{RDW_unit}}</w:t>
            </w:r>
          </w:p>
        </w:tc>
      </w:tr>
      <w:tr w:rsidR="009967D1" w14:paraId="65D3F2CD" w14:textId="77777777">
        <w:trPr>
          <w:trHeight w:val="1651"/>
          <w:jc w:val="center"/>
        </w:trPr>
        <w:tc>
          <w:tcPr>
            <w:tcW w:w="9653" w:type="dxa"/>
            <w:gridSpan w:val="11"/>
            <w:vAlign w:val="center"/>
          </w:tcPr>
          <w:p w14:paraId="734B338B" w14:textId="77777777" w:rsidR="009967D1" w:rsidRDefault="009967D1">
            <w:pPr>
              <w:jc w:val="left"/>
              <w:rPr>
                <w:b/>
                <w:bCs/>
                <w:color w:val="404040" w:themeColor="text1" w:themeTint="BF"/>
                <w:szCs w:val="22"/>
              </w:rPr>
            </w:pPr>
          </w:p>
          <w:p w14:paraId="27053DE1" w14:textId="77777777" w:rsidR="009967D1" w:rsidRDefault="0080134E">
            <w:r>
              <w:rPr>
                <w:b/>
                <w:bCs/>
              </w:rPr>
              <w:t>Clinical Significance:</w:t>
            </w:r>
            <w:r>
              <w:t xml:space="preserve"> Reflects the heterogeneity of red blood cell volume, that is, the degree of dispersion of red blood cell volume, helping in the differential diagnosis of anemia. The normal RDW - CV (coefficient of variation) is 11.5% - 14.5%.</w:t>
            </w:r>
          </w:p>
          <w:p w14:paraId="0F23A740" w14:textId="77777777" w:rsidR="009967D1" w:rsidRDefault="0080134E">
            <w:pPr>
              <w:rPr>
                <w:color w:val="404040" w:themeColor="text1" w:themeTint="BF"/>
                <w:szCs w:val="22"/>
              </w:rPr>
            </w:pPr>
            <w:r>
              <w:rPr>
                <w:b/>
                <w:bCs/>
              </w:rPr>
              <w:t>临床意义：</w:t>
            </w:r>
            <w:r>
              <w:t>反映红细胞体积大小的异质性，即红细胞体积的离散程度，帮助贫血的鉴别诊断，正常RDW-CV（变异系数）11.5%-14.5%。</w:t>
            </w:r>
          </w:p>
        </w:tc>
      </w:tr>
    </w:tbl>
    <w:p w14:paraId="0F16974A" w14:textId="77777777" w:rsidR="009967D1" w:rsidRDefault="009967D1" w:rsidP="004619DA">
      <w:pPr>
        <w:pStyle w:val="0"/>
      </w:pPr>
    </w:p>
    <w:p w14:paraId="70B6AC2D"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3"/>
        <w:gridCol w:w="393"/>
        <w:gridCol w:w="2040"/>
        <w:gridCol w:w="1627"/>
        <w:gridCol w:w="52"/>
        <w:gridCol w:w="768"/>
        <w:gridCol w:w="28"/>
        <w:gridCol w:w="657"/>
        <w:gridCol w:w="1243"/>
        <w:gridCol w:w="655"/>
        <w:gridCol w:w="697"/>
      </w:tblGrid>
      <w:tr w:rsidR="009967D1" w14:paraId="5A5E5528" w14:textId="77777777">
        <w:trPr>
          <w:trHeight w:hRule="exact" w:val="113"/>
          <w:jc w:val="center"/>
        </w:trPr>
        <w:tc>
          <w:tcPr>
            <w:tcW w:w="1560" w:type="dxa"/>
            <w:gridSpan w:val="2"/>
            <w:tcBorders>
              <w:top w:val="single" w:sz="4" w:space="0" w:color="auto"/>
            </w:tcBorders>
            <w:vAlign w:val="center"/>
          </w:tcPr>
          <w:p w14:paraId="2AF82054"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BFCF23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1E5B8B9"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4EC4B46"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810B3D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3D12AA9" w14:textId="77777777" w:rsidR="009967D1" w:rsidRDefault="009967D1">
            <w:pPr>
              <w:spacing w:line="300" w:lineRule="exact"/>
              <w:jc w:val="right"/>
              <w:rPr>
                <w:color w:val="323E4F" w:themeColor="text2" w:themeShade="BF"/>
                <w:sz w:val="2"/>
                <w:szCs w:val="2"/>
              </w:rPr>
            </w:pPr>
          </w:p>
        </w:tc>
      </w:tr>
      <w:tr w:rsidR="009967D1" w14:paraId="1F549776" w14:textId="77777777">
        <w:trPr>
          <w:trHeight w:val="432"/>
          <w:jc w:val="center"/>
        </w:trPr>
        <w:tc>
          <w:tcPr>
            <w:tcW w:w="1150" w:type="dxa"/>
            <w:vAlign w:val="center"/>
          </w:tcPr>
          <w:p w14:paraId="6FF5CF79" w14:textId="77777777" w:rsidR="009967D1" w:rsidRDefault="0080134E">
            <w:pPr>
              <w:spacing w:line="400" w:lineRule="exact"/>
              <w:jc w:val="center"/>
              <w:rPr>
                <w:b/>
                <w:bCs/>
                <w:color w:val="000000" w:themeColor="text1"/>
                <w:sz w:val="24"/>
              </w:rPr>
            </w:pPr>
            <w:r>
              <w:rPr>
                <w:rFonts w:hint="eastAsia"/>
                <w:b/>
                <w:bCs/>
                <w:color w:val="000000" w:themeColor="text1"/>
                <w:sz w:val="24"/>
              </w:rPr>
              <w:t>RBC Morphology</w:t>
            </w:r>
          </w:p>
        </w:tc>
        <w:tc>
          <w:tcPr>
            <w:tcW w:w="2536" w:type="dxa"/>
            <w:gridSpan w:val="2"/>
            <w:vAlign w:val="center"/>
          </w:tcPr>
          <w:p w14:paraId="44253D08" w14:textId="77777777" w:rsidR="009967D1" w:rsidRDefault="0080134E">
            <w:pPr>
              <w:spacing w:line="400" w:lineRule="exact"/>
              <w:jc w:val="center"/>
              <w:rPr>
                <w:b/>
                <w:bCs/>
                <w:color w:val="000000" w:themeColor="text1"/>
                <w:sz w:val="24"/>
              </w:rPr>
            </w:pPr>
            <w:r>
              <w:rPr>
                <w:rFonts w:hint="eastAsia"/>
                <w:b/>
                <w:bCs/>
                <w:color w:val="000000" w:themeColor="text1"/>
                <w:sz w:val="24"/>
              </w:rPr>
              <w:t>红细胞形态</w:t>
            </w:r>
          </w:p>
        </w:tc>
        <w:tc>
          <w:tcPr>
            <w:tcW w:w="1754" w:type="dxa"/>
            <w:gridSpan w:val="2"/>
            <w:vAlign w:val="center"/>
          </w:tcPr>
          <w:p>
            <w:r>
              <w:t>{{RBCMORPHOLOGY_result}}</w:t>
            </w:r>
          </w:p>
        </w:tc>
        <w:tc>
          <w:tcPr>
            <w:tcW w:w="825" w:type="dxa"/>
            <w:gridSpan w:val="2"/>
            <w:vAlign w:val="center"/>
          </w:tcPr>
          <w:p>
            <w:r>
              <w:t>{{RBCMORPHOLOGY_point}}</w:t>
            </w:r>
          </w:p>
        </w:tc>
        <w:tc>
          <w:tcPr>
            <w:tcW w:w="1980" w:type="dxa"/>
            <w:gridSpan w:val="2"/>
            <w:vAlign w:val="center"/>
          </w:tcPr>
          <w:p>
            <w:r>
              <w:t>{{RBCMORPHOLOGY_refer}}</w:t>
            </w:r>
          </w:p>
        </w:tc>
        <w:tc>
          <w:tcPr>
            <w:tcW w:w="1408" w:type="dxa"/>
            <w:gridSpan w:val="2"/>
            <w:vAlign w:val="center"/>
          </w:tcPr>
          <w:p>
            <w:r>
              <w:t>{{RBCMORPHOLOGY_unit}}</w:t>
            </w:r>
          </w:p>
        </w:tc>
      </w:tr>
      <w:tr w:rsidR="009967D1" w14:paraId="4551F669" w14:textId="77777777">
        <w:trPr>
          <w:trHeight w:val="1651"/>
          <w:jc w:val="center"/>
        </w:trPr>
        <w:tc>
          <w:tcPr>
            <w:tcW w:w="9653" w:type="dxa"/>
            <w:gridSpan w:val="11"/>
            <w:vAlign w:val="center"/>
          </w:tcPr>
          <w:p w14:paraId="0B433A6D" w14:textId="77777777" w:rsidR="009967D1" w:rsidRDefault="009967D1">
            <w:pPr>
              <w:jc w:val="left"/>
              <w:rPr>
                <w:b/>
                <w:bCs/>
                <w:color w:val="404040" w:themeColor="text1" w:themeTint="BF"/>
                <w:szCs w:val="22"/>
              </w:rPr>
            </w:pPr>
          </w:p>
          <w:p w14:paraId="2D250FB0" w14:textId="77777777" w:rsidR="009967D1" w:rsidRDefault="0080134E">
            <w:r>
              <w:rPr>
                <w:b/>
                <w:bCs/>
              </w:rPr>
              <w:t>Clinical Significance:</w:t>
            </w:r>
            <w:r>
              <w:t xml:space="preserve"> Observing the morphological characteristics of red blood cells (such as normal, spherical, elliptical, sickle - shaped, etc.) is of great value in the diagnosis of the etiology of anemia and hematological diseases. Normal red blood cells are biconcave discs.</w:t>
            </w:r>
          </w:p>
          <w:p w14:paraId="01D78D3C" w14:textId="77777777" w:rsidR="009967D1" w:rsidRDefault="0080134E">
            <w:pPr>
              <w:rPr>
                <w:color w:val="404040" w:themeColor="text1" w:themeTint="BF"/>
                <w:szCs w:val="22"/>
              </w:rPr>
            </w:pPr>
            <w:r>
              <w:rPr>
                <w:b/>
                <w:bCs/>
              </w:rPr>
              <w:t>临床意义：</w:t>
            </w:r>
            <w:r>
              <w:t>观察红细胞的形态特点（如正常、球形、椭圆形、镰状等），对贫血病因、血液系统疾病诊断有重要价值，正常红细胞为双凹圆盘状。</w:t>
            </w:r>
          </w:p>
        </w:tc>
      </w:tr>
    </w:tbl>
    <w:p w14:paraId="7466FC26" w14:textId="77777777" w:rsidR="009967D1" w:rsidRDefault="009967D1" w:rsidP="004619DA">
      <w:pPr>
        <w:pStyle w:val="0"/>
      </w:pPr>
    </w:p>
    <w:p w14:paraId="2DE4452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A9D0D44" w14:textId="77777777">
        <w:trPr>
          <w:trHeight w:hRule="exact" w:val="113"/>
          <w:jc w:val="center"/>
        </w:trPr>
        <w:tc>
          <w:tcPr>
            <w:tcW w:w="1560" w:type="dxa"/>
            <w:gridSpan w:val="2"/>
            <w:tcBorders>
              <w:top w:val="single" w:sz="4" w:space="0" w:color="auto"/>
            </w:tcBorders>
            <w:vAlign w:val="center"/>
          </w:tcPr>
          <w:p w14:paraId="293CB81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970020F"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90BC4E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38DA86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C81A8F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53C051E" w14:textId="77777777" w:rsidR="009967D1" w:rsidRDefault="009967D1">
            <w:pPr>
              <w:spacing w:line="300" w:lineRule="exact"/>
              <w:jc w:val="right"/>
              <w:rPr>
                <w:color w:val="323E4F" w:themeColor="text2" w:themeShade="BF"/>
                <w:sz w:val="2"/>
                <w:szCs w:val="2"/>
              </w:rPr>
            </w:pPr>
          </w:p>
        </w:tc>
      </w:tr>
      <w:tr w:rsidR="009967D1" w14:paraId="60F13E34" w14:textId="77777777">
        <w:trPr>
          <w:trHeight w:val="432"/>
          <w:jc w:val="center"/>
        </w:trPr>
        <w:tc>
          <w:tcPr>
            <w:tcW w:w="1150" w:type="dxa"/>
            <w:vAlign w:val="center"/>
          </w:tcPr>
          <w:p w14:paraId="3612BA7A" w14:textId="77777777" w:rsidR="009967D1" w:rsidRDefault="0080134E">
            <w:pPr>
              <w:spacing w:line="400" w:lineRule="exact"/>
              <w:jc w:val="center"/>
              <w:rPr>
                <w:b/>
                <w:bCs/>
                <w:color w:val="000000" w:themeColor="text1"/>
                <w:sz w:val="24"/>
              </w:rPr>
            </w:pPr>
            <w:r>
              <w:rPr>
                <w:rFonts w:hint="eastAsia"/>
                <w:b/>
                <w:bCs/>
                <w:color w:val="000000" w:themeColor="text1"/>
                <w:sz w:val="24"/>
              </w:rPr>
              <w:t>WBC count</w:t>
            </w:r>
          </w:p>
        </w:tc>
        <w:tc>
          <w:tcPr>
            <w:tcW w:w="2536" w:type="dxa"/>
            <w:gridSpan w:val="2"/>
            <w:vAlign w:val="center"/>
          </w:tcPr>
          <w:p w14:paraId="0788ACD2" w14:textId="77777777" w:rsidR="009967D1" w:rsidRDefault="0080134E">
            <w:pPr>
              <w:spacing w:line="400" w:lineRule="exact"/>
              <w:jc w:val="center"/>
              <w:rPr>
                <w:b/>
                <w:bCs/>
                <w:color w:val="000000" w:themeColor="text1"/>
                <w:sz w:val="24"/>
              </w:rPr>
            </w:pPr>
            <w:r>
              <w:rPr>
                <w:rFonts w:hint="eastAsia"/>
                <w:b/>
                <w:bCs/>
                <w:color w:val="000000" w:themeColor="text1"/>
                <w:sz w:val="24"/>
              </w:rPr>
              <w:t>白细胞总数</w:t>
            </w:r>
          </w:p>
        </w:tc>
        <w:tc>
          <w:tcPr>
            <w:tcW w:w="1754" w:type="dxa"/>
            <w:gridSpan w:val="2"/>
            <w:vAlign w:val="center"/>
          </w:tcPr>
          <w:p>
            <w:r>
              <w:t>{{WBCCOUNT_result}}</w:t>
            </w:r>
          </w:p>
        </w:tc>
        <w:tc>
          <w:tcPr>
            <w:tcW w:w="825" w:type="dxa"/>
            <w:gridSpan w:val="2"/>
            <w:vAlign w:val="center"/>
          </w:tcPr>
          <w:p>
            <w:r>
              <w:t>{{WBCCOUNT_point}}</w:t>
            </w:r>
          </w:p>
        </w:tc>
        <w:tc>
          <w:tcPr>
            <w:tcW w:w="1980" w:type="dxa"/>
            <w:gridSpan w:val="2"/>
            <w:vAlign w:val="center"/>
          </w:tcPr>
          <w:p>
            <w:r>
              <w:t>{{WBCCOUNT_refer}}</w:t>
            </w:r>
          </w:p>
        </w:tc>
        <w:tc>
          <w:tcPr>
            <w:tcW w:w="1408" w:type="dxa"/>
            <w:gridSpan w:val="2"/>
            <w:vAlign w:val="center"/>
          </w:tcPr>
          <w:p>
            <w:r>
              <w:t>{{WBCCOUNT_unit}}</w:t>
            </w:r>
          </w:p>
        </w:tc>
      </w:tr>
      <w:tr w:rsidR="009967D1" w14:paraId="50D63579" w14:textId="77777777">
        <w:trPr>
          <w:trHeight w:val="1651"/>
          <w:jc w:val="center"/>
        </w:trPr>
        <w:tc>
          <w:tcPr>
            <w:tcW w:w="9653" w:type="dxa"/>
            <w:gridSpan w:val="11"/>
            <w:vAlign w:val="center"/>
          </w:tcPr>
          <w:p w14:paraId="21EC40FC" w14:textId="77777777" w:rsidR="009967D1" w:rsidRDefault="009967D1">
            <w:pPr>
              <w:jc w:val="left"/>
              <w:rPr>
                <w:b/>
                <w:bCs/>
                <w:color w:val="404040" w:themeColor="text1" w:themeTint="BF"/>
                <w:szCs w:val="22"/>
              </w:rPr>
            </w:pPr>
          </w:p>
          <w:p w14:paraId="7F85D331" w14:textId="77777777" w:rsidR="009967D1" w:rsidRDefault="0080134E">
            <w:r>
              <w:rPr>
                <w:b/>
                <w:bCs/>
              </w:rPr>
              <w:t>Clinical Significance:</w:t>
            </w:r>
            <w:r>
              <w:t xml:space="preserve"> Reflects the total number of white blood cells, is a preliminary indicator for judging infections, inflammation, and certain blood diseases. The normal range for adults is (3.5 - 9.5) × 10⁹/L. 2.</w:t>
            </w:r>
          </w:p>
          <w:p w14:paraId="4C040239" w14:textId="77777777" w:rsidR="009967D1" w:rsidRDefault="0080134E">
            <w:pPr>
              <w:rPr>
                <w:color w:val="404040" w:themeColor="text1" w:themeTint="BF"/>
                <w:szCs w:val="22"/>
              </w:rPr>
            </w:pPr>
            <w:r>
              <w:rPr>
                <w:b/>
                <w:bCs/>
              </w:rPr>
              <w:t>临床意义：</w:t>
            </w:r>
            <w:r>
              <w:t>反映白细胞的总体数量，是判断感染、炎症及某些血液疾病的初步指标，正常成人（3.5-9.5）×10⁹/L。</w:t>
            </w:r>
          </w:p>
        </w:tc>
      </w:tr>
    </w:tbl>
    <w:p w14:paraId="44CE4AF5" w14:textId="77777777" w:rsidR="009967D1" w:rsidRDefault="009967D1" w:rsidP="004619DA">
      <w:pPr>
        <w:pStyle w:val="0"/>
      </w:pPr>
    </w:p>
    <w:p w14:paraId="391E7757"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A8CC897" w14:textId="77777777">
        <w:trPr>
          <w:trHeight w:hRule="exact" w:val="113"/>
          <w:jc w:val="center"/>
        </w:trPr>
        <w:tc>
          <w:tcPr>
            <w:tcW w:w="1560" w:type="dxa"/>
            <w:gridSpan w:val="2"/>
            <w:tcBorders>
              <w:top w:val="single" w:sz="4" w:space="0" w:color="auto"/>
            </w:tcBorders>
            <w:vAlign w:val="center"/>
          </w:tcPr>
          <w:p w14:paraId="60D51261"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92F01E8"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B6905FC"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717732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9AA955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030C89C" w14:textId="77777777" w:rsidR="009967D1" w:rsidRDefault="009967D1">
            <w:pPr>
              <w:spacing w:line="300" w:lineRule="exact"/>
              <w:jc w:val="right"/>
              <w:rPr>
                <w:color w:val="323E4F" w:themeColor="text2" w:themeShade="BF"/>
                <w:sz w:val="2"/>
                <w:szCs w:val="2"/>
              </w:rPr>
            </w:pPr>
          </w:p>
        </w:tc>
      </w:tr>
      <w:tr w:rsidR="009967D1" w14:paraId="68FBE1A6" w14:textId="77777777">
        <w:trPr>
          <w:trHeight w:val="432"/>
          <w:jc w:val="center"/>
        </w:trPr>
        <w:tc>
          <w:tcPr>
            <w:tcW w:w="1150" w:type="dxa"/>
            <w:vAlign w:val="center"/>
          </w:tcPr>
          <w:p w14:paraId="55F7FA02" w14:textId="77777777" w:rsidR="009967D1" w:rsidRDefault="0080134E">
            <w:pPr>
              <w:spacing w:line="400" w:lineRule="exact"/>
              <w:jc w:val="center"/>
              <w:rPr>
                <w:b/>
                <w:bCs/>
                <w:color w:val="000000" w:themeColor="text1"/>
                <w:sz w:val="24"/>
              </w:rPr>
            </w:pPr>
            <w:r>
              <w:rPr>
                <w:rFonts w:hint="eastAsia"/>
                <w:b/>
                <w:bCs/>
                <w:color w:val="000000" w:themeColor="text1"/>
                <w:sz w:val="24"/>
              </w:rPr>
              <w:t>NEUT</w:t>
            </w:r>
          </w:p>
        </w:tc>
        <w:tc>
          <w:tcPr>
            <w:tcW w:w="2536" w:type="dxa"/>
            <w:gridSpan w:val="2"/>
            <w:vAlign w:val="center"/>
          </w:tcPr>
          <w:p w14:paraId="253EFE90" w14:textId="77777777" w:rsidR="009967D1" w:rsidRDefault="0080134E">
            <w:pPr>
              <w:spacing w:line="400" w:lineRule="exact"/>
              <w:jc w:val="center"/>
              <w:rPr>
                <w:b/>
                <w:bCs/>
                <w:color w:val="000000" w:themeColor="text1"/>
                <w:sz w:val="24"/>
              </w:rPr>
            </w:pPr>
            <w:r>
              <w:rPr>
                <w:rFonts w:hint="eastAsia"/>
                <w:b/>
                <w:bCs/>
                <w:color w:val="000000" w:themeColor="text1"/>
                <w:sz w:val="24"/>
              </w:rPr>
              <w:t>中性粒细胞数量</w:t>
            </w:r>
          </w:p>
        </w:tc>
        <w:tc>
          <w:tcPr>
            <w:tcW w:w="1754" w:type="dxa"/>
            <w:gridSpan w:val="2"/>
            <w:vAlign w:val="center"/>
          </w:tcPr>
          <w:p>
            <w:r>
              <w:t>{{NEUT_result}}</w:t>
            </w:r>
          </w:p>
        </w:tc>
        <w:tc>
          <w:tcPr>
            <w:tcW w:w="825" w:type="dxa"/>
            <w:gridSpan w:val="2"/>
            <w:vAlign w:val="center"/>
          </w:tcPr>
          <w:p>
            <w:r>
              <w:t>{{NEUT_point}}</w:t>
            </w:r>
          </w:p>
        </w:tc>
        <w:tc>
          <w:tcPr>
            <w:tcW w:w="1980" w:type="dxa"/>
            <w:gridSpan w:val="2"/>
            <w:vAlign w:val="center"/>
          </w:tcPr>
          <w:p>
            <w:r>
              <w:t>{{NEUT_refer}}</w:t>
            </w:r>
          </w:p>
        </w:tc>
        <w:tc>
          <w:tcPr>
            <w:tcW w:w="1408" w:type="dxa"/>
            <w:gridSpan w:val="2"/>
            <w:vAlign w:val="center"/>
          </w:tcPr>
          <w:p>
            <w:r>
              <w:t>{{NEUT_unit}}</w:t>
            </w:r>
          </w:p>
        </w:tc>
      </w:tr>
      <w:tr w:rsidR="009967D1" w14:paraId="073402BD" w14:textId="77777777">
        <w:trPr>
          <w:trHeight w:val="432"/>
          <w:jc w:val="center"/>
        </w:trPr>
        <w:tc>
          <w:tcPr>
            <w:tcW w:w="1150" w:type="dxa"/>
            <w:vAlign w:val="center"/>
          </w:tcPr>
          <w:p w14:paraId="220C7AF8" w14:textId="77777777" w:rsidR="009967D1" w:rsidRDefault="0080134E">
            <w:pPr>
              <w:spacing w:line="400" w:lineRule="exact"/>
              <w:jc w:val="center"/>
              <w:rPr>
                <w:b/>
                <w:bCs/>
                <w:color w:val="000000" w:themeColor="text1"/>
                <w:sz w:val="24"/>
              </w:rPr>
            </w:pPr>
            <w:r>
              <w:rPr>
                <w:b/>
                <w:bCs/>
                <w:color w:val="000000" w:themeColor="text1"/>
                <w:sz w:val="24"/>
              </w:rPr>
              <w:t>NEUT%</w:t>
            </w:r>
          </w:p>
        </w:tc>
        <w:tc>
          <w:tcPr>
            <w:tcW w:w="2536" w:type="dxa"/>
            <w:gridSpan w:val="2"/>
            <w:vAlign w:val="center"/>
          </w:tcPr>
          <w:p w14:paraId="53D63184" w14:textId="77777777" w:rsidR="009967D1" w:rsidRDefault="0080134E">
            <w:pPr>
              <w:spacing w:line="400" w:lineRule="exact"/>
              <w:jc w:val="center"/>
              <w:rPr>
                <w:b/>
                <w:bCs/>
                <w:color w:val="000000" w:themeColor="text1"/>
                <w:sz w:val="24"/>
              </w:rPr>
            </w:pPr>
            <w:r>
              <w:rPr>
                <w:b/>
                <w:bCs/>
                <w:color w:val="000000" w:themeColor="text1"/>
                <w:sz w:val="24"/>
              </w:rPr>
              <w:t>中性粒细胞百分含量</w:t>
            </w:r>
          </w:p>
        </w:tc>
        <w:tc>
          <w:tcPr>
            <w:tcW w:w="1754" w:type="dxa"/>
            <w:gridSpan w:val="2"/>
            <w:vAlign w:val="center"/>
          </w:tcPr>
          <w:p>
            <w:r>
              <w:t>{{NEUTpct_result}}</w:t>
            </w:r>
          </w:p>
        </w:tc>
        <w:tc>
          <w:tcPr>
            <w:tcW w:w="825" w:type="dxa"/>
            <w:gridSpan w:val="2"/>
            <w:vAlign w:val="center"/>
          </w:tcPr>
          <w:p>
            <w:r>
              <w:t>{{NEUTpct_point}}</w:t>
            </w:r>
          </w:p>
        </w:tc>
        <w:tc>
          <w:tcPr>
            <w:tcW w:w="1980" w:type="dxa"/>
            <w:gridSpan w:val="2"/>
            <w:vAlign w:val="center"/>
          </w:tcPr>
          <w:p>
            <w:r>
              <w:t>{{NEUTpct_refer}}</w:t>
            </w:r>
          </w:p>
        </w:tc>
        <w:tc>
          <w:tcPr>
            <w:tcW w:w="1408" w:type="dxa"/>
            <w:gridSpan w:val="2"/>
            <w:vAlign w:val="center"/>
          </w:tcPr>
          <w:p>
            <w:r>
              <w:t>{{NEUTpct_unit}}</w:t>
            </w:r>
          </w:p>
        </w:tc>
      </w:tr>
      <w:tr w:rsidR="009967D1" w14:paraId="290B0354" w14:textId="77777777">
        <w:trPr>
          <w:trHeight w:val="1651"/>
          <w:jc w:val="center"/>
        </w:trPr>
        <w:tc>
          <w:tcPr>
            <w:tcW w:w="9653" w:type="dxa"/>
            <w:gridSpan w:val="11"/>
            <w:vAlign w:val="center"/>
          </w:tcPr>
          <w:p w14:paraId="7159D184" w14:textId="77777777" w:rsidR="009967D1" w:rsidRDefault="009967D1">
            <w:pPr>
              <w:jc w:val="left"/>
              <w:rPr>
                <w:b/>
                <w:bCs/>
                <w:color w:val="404040" w:themeColor="text1" w:themeTint="BF"/>
                <w:szCs w:val="22"/>
              </w:rPr>
            </w:pPr>
          </w:p>
          <w:p w14:paraId="1DC7B263" w14:textId="77777777" w:rsidR="009967D1" w:rsidRDefault="0080134E">
            <w:r>
              <w:rPr>
                <w:b/>
                <w:bCs/>
              </w:rPr>
              <w:t>Clinical Significance:</w:t>
            </w:r>
            <w:r>
              <w:t xml:space="preserve"> Neutrophils are the main component of white blood cells and play a key role in anti - infection. Changes in their count and percentage reflect infection, inflammation, and hematopoietic conditions. The normal count is (2.0 - 7.5) × 10⁹/L, and the percentage is 50% - 70%.</w:t>
            </w:r>
          </w:p>
          <w:p w14:paraId="111335FE" w14:textId="77777777" w:rsidR="009967D1" w:rsidRDefault="0080134E">
            <w:pPr>
              <w:rPr>
                <w:color w:val="404040" w:themeColor="text1" w:themeTint="BF"/>
                <w:szCs w:val="22"/>
              </w:rPr>
            </w:pPr>
            <w:r>
              <w:rPr>
                <w:b/>
                <w:bCs/>
              </w:rPr>
              <w:t>临床意义：</w:t>
            </w:r>
            <w:r>
              <w:t>中性粒细胞是白细胞主要成分，在抗感染中起关键作用，数量和百分比变化反映感染、炎症及造血情况，正常数量（2.0-7.5）×10⁹/L，百分比50%-70%。</w:t>
            </w:r>
          </w:p>
        </w:tc>
      </w:tr>
    </w:tbl>
    <w:p w14:paraId="268B6DE2" w14:textId="77777777" w:rsidR="009967D1" w:rsidRDefault="009967D1" w:rsidP="004619DA">
      <w:pPr>
        <w:pStyle w:val="0"/>
      </w:pPr>
    </w:p>
    <w:p w14:paraId="4E032BB3"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E445944" w14:textId="77777777">
        <w:trPr>
          <w:trHeight w:hRule="exact" w:val="113"/>
          <w:jc w:val="center"/>
        </w:trPr>
        <w:tc>
          <w:tcPr>
            <w:tcW w:w="1560" w:type="dxa"/>
            <w:gridSpan w:val="2"/>
            <w:tcBorders>
              <w:top w:val="single" w:sz="4" w:space="0" w:color="auto"/>
            </w:tcBorders>
            <w:vAlign w:val="center"/>
          </w:tcPr>
          <w:p w14:paraId="6AB05F7F"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B4C737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EF56389"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6F83C0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C24FB9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1D5B318" w14:textId="77777777" w:rsidR="009967D1" w:rsidRDefault="009967D1">
            <w:pPr>
              <w:spacing w:line="300" w:lineRule="exact"/>
              <w:jc w:val="right"/>
              <w:rPr>
                <w:color w:val="323E4F" w:themeColor="text2" w:themeShade="BF"/>
                <w:sz w:val="2"/>
                <w:szCs w:val="2"/>
              </w:rPr>
            </w:pPr>
          </w:p>
        </w:tc>
      </w:tr>
      <w:tr w:rsidR="009967D1" w14:paraId="4979757B" w14:textId="77777777">
        <w:trPr>
          <w:trHeight w:val="432"/>
          <w:jc w:val="center"/>
        </w:trPr>
        <w:tc>
          <w:tcPr>
            <w:tcW w:w="1150" w:type="dxa"/>
            <w:vAlign w:val="center"/>
          </w:tcPr>
          <w:p w14:paraId="3F214C5C" w14:textId="77777777" w:rsidR="009967D1" w:rsidRDefault="0080134E">
            <w:pPr>
              <w:spacing w:line="400" w:lineRule="exact"/>
              <w:jc w:val="center"/>
              <w:rPr>
                <w:b/>
                <w:bCs/>
                <w:color w:val="000000" w:themeColor="text1"/>
                <w:sz w:val="24"/>
              </w:rPr>
            </w:pPr>
            <w:r>
              <w:rPr>
                <w:rFonts w:hint="eastAsia"/>
                <w:b/>
                <w:bCs/>
                <w:color w:val="000000" w:themeColor="text1"/>
                <w:sz w:val="24"/>
              </w:rPr>
              <w:t>EOS</w:t>
            </w:r>
          </w:p>
        </w:tc>
        <w:tc>
          <w:tcPr>
            <w:tcW w:w="2536" w:type="dxa"/>
            <w:gridSpan w:val="2"/>
            <w:vAlign w:val="center"/>
          </w:tcPr>
          <w:p w14:paraId="7B7B4A46" w14:textId="77777777" w:rsidR="009967D1" w:rsidRDefault="0080134E">
            <w:pPr>
              <w:spacing w:line="400" w:lineRule="exact"/>
              <w:jc w:val="center"/>
              <w:rPr>
                <w:b/>
                <w:bCs/>
                <w:color w:val="000000" w:themeColor="text1"/>
                <w:sz w:val="24"/>
              </w:rPr>
            </w:pPr>
            <w:r>
              <w:rPr>
                <w:rFonts w:hint="eastAsia"/>
                <w:b/>
                <w:bCs/>
                <w:color w:val="000000" w:themeColor="text1"/>
                <w:sz w:val="24"/>
              </w:rPr>
              <w:t>嗜酸细胞数量</w:t>
            </w:r>
          </w:p>
        </w:tc>
        <w:tc>
          <w:tcPr>
            <w:tcW w:w="1754" w:type="dxa"/>
            <w:gridSpan w:val="2"/>
            <w:vAlign w:val="center"/>
          </w:tcPr>
          <w:p>
            <w:r>
              <w:t>{{EOS_result}}</w:t>
            </w:r>
          </w:p>
        </w:tc>
        <w:tc>
          <w:tcPr>
            <w:tcW w:w="825" w:type="dxa"/>
            <w:gridSpan w:val="2"/>
            <w:vAlign w:val="center"/>
          </w:tcPr>
          <w:p>
            <w:r>
              <w:t>{{EOS_point}}</w:t>
            </w:r>
          </w:p>
        </w:tc>
        <w:tc>
          <w:tcPr>
            <w:tcW w:w="1980" w:type="dxa"/>
            <w:gridSpan w:val="2"/>
            <w:vAlign w:val="center"/>
          </w:tcPr>
          <w:p>
            <w:r>
              <w:t>{{EOS_refer}}</w:t>
            </w:r>
          </w:p>
        </w:tc>
        <w:tc>
          <w:tcPr>
            <w:tcW w:w="1408" w:type="dxa"/>
            <w:gridSpan w:val="2"/>
            <w:vAlign w:val="center"/>
          </w:tcPr>
          <w:p>
            <w:r>
              <w:t>{{EOS_unit}}</w:t>
            </w:r>
          </w:p>
        </w:tc>
      </w:tr>
      <w:tr w:rsidR="009967D1" w14:paraId="0DAD2BA6" w14:textId="77777777">
        <w:trPr>
          <w:trHeight w:val="432"/>
          <w:jc w:val="center"/>
        </w:trPr>
        <w:tc>
          <w:tcPr>
            <w:tcW w:w="1150" w:type="dxa"/>
            <w:vAlign w:val="center"/>
          </w:tcPr>
          <w:p w14:paraId="539CD3DD" w14:textId="77777777" w:rsidR="009967D1" w:rsidRDefault="0080134E">
            <w:pPr>
              <w:spacing w:line="400" w:lineRule="exact"/>
              <w:jc w:val="center"/>
              <w:rPr>
                <w:b/>
                <w:bCs/>
                <w:color w:val="000000" w:themeColor="text1"/>
                <w:sz w:val="24"/>
              </w:rPr>
            </w:pPr>
            <w:r>
              <w:rPr>
                <w:b/>
                <w:bCs/>
                <w:color w:val="000000" w:themeColor="text1"/>
                <w:sz w:val="24"/>
              </w:rPr>
              <w:t>EOS%</w:t>
            </w:r>
          </w:p>
        </w:tc>
        <w:tc>
          <w:tcPr>
            <w:tcW w:w="2536" w:type="dxa"/>
            <w:gridSpan w:val="2"/>
            <w:vAlign w:val="center"/>
          </w:tcPr>
          <w:p w14:paraId="42789981" w14:textId="77777777" w:rsidR="009967D1" w:rsidRDefault="0080134E">
            <w:pPr>
              <w:spacing w:line="400" w:lineRule="exact"/>
              <w:jc w:val="center"/>
              <w:rPr>
                <w:b/>
                <w:bCs/>
                <w:color w:val="000000" w:themeColor="text1"/>
                <w:sz w:val="24"/>
              </w:rPr>
            </w:pPr>
            <w:r>
              <w:rPr>
                <w:b/>
                <w:bCs/>
                <w:color w:val="000000" w:themeColor="text1"/>
                <w:sz w:val="24"/>
              </w:rPr>
              <w:t>嗜酸细胞百分含量</w:t>
            </w:r>
          </w:p>
        </w:tc>
        <w:tc>
          <w:tcPr>
            <w:tcW w:w="1754" w:type="dxa"/>
            <w:gridSpan w:val="2"/>
            <w:vAlign w:val="center"/>
          </w:tcPr>
          <w:p>
            <w:r>
              <w:t>{{EOSpct_result}}</w:t>
            </w:r>
          </w:p>
        </w:tc>
        <w:tc>
          <w:tcPr>
            <w:tcW w:w="825" w:type="dxa"/>
            <w:gridSpan w:val="2"/>
            <w:vAlign w:val="center"/>
          </w:tcPr>
          <w:p>
            <w:r>
              <w:t>{{EOSpct_point}}</w:t>
            </w:r>
          </w:p>
        </w:tc>
        <w:tc>
          <w:tcPr>
            <w:tcW w:w="1980" w:type="dxa"/>
            <w:gridSpan w:val="2"/>
            <w:vAlign w:val="center"/>
          </w:tcPr>
          <w:p>
            <w:r>
              <w:t>{{EOSpct_refer}}</w:t>
            </w:r>
          </w:p>
        </w:tc>
        <w:tc>
          <w:tcPr>
            <w:tcW w:w="1408" w:type="dxa"/>
            <w:gridSpan w:val="2"/>
            <w:vAlign w:val="center"/>
          </w:tcPr>
          <w:p>
            <w:r>
              <w:t>{{EOSpct_unit}}</w:t>
            </w:r>
          </w:p>
        </w:tc>
      </w:tr>
      <w:tr w:rsidR="009967D1" w14:paraId="11C66FDA" w14:textId="77777777">
        <w:trPr>
          <w:trHeight w:val="1651"/>
          <w:jc w:val="center"/>
        </w:trPr>
        <w:tc>
          <w:tcPr>
            <w:tcW w:w="9653" w:type="dxa"/>
            <w:gridSpan w:val="11"/>
            <w:vAlign w:val="center"/>
          </w:tcPr>
          <w:p w14:paraId="477046DC" w14:textId="77777777" w:rsidR="009967D1" w:rsidRDefault="009967D1">
            <w:pPr>
              <w:jc w:val="left"/>
              <w:rPr>
                <w:b/>
                <w:bCs/>
                <w:color w:val="404040" w:themeColor="text1" w:themeTint="BF"/>
                <w:szCs w:val="22"/>
              </w:rPr>
            </w:pPr>
          </w:p>
          <w:p w14:paraId="395B51AB" w14:textId="77777777" w:rsidR="009967D1" w:rsidRDefault="0080134E">
            <w:r>
              <w:rPr>
                <w:b/>
                <w:bCs/>
              </w:rPr>
              <w:t>Clinical Significance:</w:t>
            </w:r>
            <w:r>
              <w:t xml:space="preserve"> Participates in immune processes such as allergic reactions and anti - parasitic infections. Changes in their count and percentage are significant for the diagnosis of allergic diseases, parasitic infections, etc. The normal count is (0.02 - 0.52) × 10⁹/L, and the percentage is 0.4% - 8%.</w:t>
            </w:r>
          </w:p>
          <w:p w14:paraId="7F58EE99" w14:textId="77777777" w:rsidR="009967D1" w:rsidRDefault="0080134E">
            <w:pPr>
              <w:rPr>
                <w:color w:val="404040" w:themeColor="text1" w:themeTint="BF"/>
                <w:szCs w:val="22"/>
              </w:rPr>
            </w:pPr>
            <w:r>
              <w:rPr>
                <w:b/>
                <w:bCs/>
              </w:rPr>
              <w:t>临床意义：</w:t>
            </w:r>
            <w:r>
              <w:t>参与过敏反应、抗寄生虫感染等免疫过程，数量和百分比变化对过敏疾病、寄生虫感染等诊断有意义，正常数量（0.02-0.52）×10⁹/L，百分比0.4%-8%。</w:t>
            </w:r>
          </w:p>
        </w:tc>
      </w:tr>
    </w:tbl>
    <w:p w14:paraId="04BDB2E0" w14:textId="77777777" w:rsidR="009967D1" w:rsidRDefault="009967D1" w:rsidP="004619DA">
      <w:pPr>
        <w:pStyle w:val="0"/>
      </w:pPr>
    </w:p>
    <w:p w14:paraId="7C83E31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E414144" w14:textId="77777777">
        <w:trPr>
          <w:trHeight w:hRule="exact" w:val="113"/>
          <w:jc w:val="center"/>
        </w:trPr>
        <w:tc>
          <w:tcPr>
            <w:tcW w:w="1560" w:type="dxa"/>
            <w:gridSpan w:val="2"/>
            <w:tcBorders>
              <w:top w:val="single" w:sz="4" w:space="0" w:color="auto"/>
            </w:tcBorders>
            <w:vAlign w:val="center"/>
          </w:tcPr>
          <w:p w14:paraId="6AABA72B"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639174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73EE5E4"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30659A1"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5A974B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0EF7AA7" w14:textId="77777777" w:rsidR="009967D1" w:rsidRDefault="009967D1">
            <w:pPr>
              <w:spacing w:line="300" w:lineRule="exact"/>
              <w:jc w:val="right"/>
              <w:rPr>
                <w:color w:val="323E4F" w:themeColor="text2" w:themeShade="BF"/>
                <w:sz w:val="2"/>
                <w:szCs w:val="2"/>
              </w:rPr>
            </w:pPr>
          </w:p>
        </w:tc>
      </w:tr>
      <w:tr w:rsidR="009967D1" w14:paraId="09EF81ED" w14:textId="77777777">
        <w:trPr>
          <w:trHeight w:val="432"/>
          <w:jc w:val="center"/>
        </w:trPr>
        <w:tc>
          <w:tcPr>
            <w:tcW w:w="1150" w:type="dxa"/>
            <w:vAlign w:val="center"/>
          </w:tcPr>
          <w:p w14:paraId="0871BD6D" w14:textId="77777777" w:rsidR="009967D1" w:rsidRDefault="0080134E">
            <w:pPr>
              <w:spacing w:line="400" w:lineRule="exact"/>
              <w:jc w:val="center"/>
              <w:rPr>
                <w:b/>
                <w:bCs/>
                <w:color w:val="000000" w:themeColor="text1"/>
                <w:sz w:val="24"/>
              </w:rPr>
            </w:pPr>
            <w:r>
              <w:rPr>
                <w:rFonts w:hint="eastAsia"/>
                <w:b/>
                <w:bCs/>
                <w:color w:val="000000" w:themeColor="text1"/>
                <w:sz w:val="24"/>
              </w:rPr>
              <w:t>BAS</w:t>
            </w:r>
          </w:p>
        </w:tc>
        <w:tc>
          <w:tcPr>
            <w:tcW w:w="2536" w:type="dxa"/>
            <w:gridSpan w:val="2"/>
            <w:vAlign w:val="center"/>
          </w:tcPr>
          <w:p w14:paraId="0E7CAB68" w14:textId="77777777" w:rsidR="009967D1" w:rsidRDefault="0080134E">
            <w:pPr>
              <w:spacing w:line="400" w:lineRule="exact"/>
              <w:jc w:val="center"/>
              <w:rPr>
                <w:b/>
                <w:bCs/>
                <w:color w:val="000000" w:themeColor="text1"/>
                <w:sz w:val="24"/>
              </w:rPr>
            </w:pPr>
            <w:r>
              <w:rPr>
                <w:rFonts w:hint="eastAsia"/>
                <w:b/>
                <w:bCs/>
                <w:color w:val="000000" w:themeColor="text1"/>
                <w:sz w:val="24"/>
              </w:rPr>
              <w:t>嗜碱细胞数量</w:t>
            </w:r>
          </w:p>
        </w:tc>
        <w:tc>
          <w:tcPr>
            <w:tcW w:w="1754" w:type="dxa"/>
            <w:gridSpan w:val="2"/>
            <w:vAlign w:val="center"/>
          </w:tcPr>
          <w:p>
            <w:r>
              <w:t>{{BAS_result}}</w:t>
            </w:r>
          </w:p>
        </w:tc>
        <w:tc>
          <w:tcPr>
            <w:tcW w:w="825" w:type="dxa"/>
            <w:gridSpan w:val="2"/>
            <w:vAlign w:val="center"/>
          </w:tcPr>
          <w:p>
            <w:r>
              <w:t>{{BAS_point}}</w:t>
            </w:r>
          </w:p>
        </w:tc>
        <w:tc>
          <w:tcPr>
            <w:tcW w:w="1980" w:type="dxa"/>
            <w:gridSpan w:val="2"/>
            <w:vAlign w:val="center"/>
          </w:tcPr>
          <w:p>
            <w:r>
              <w:t>{{BAS_refer}}</w:t>
            </w:r>
          </w:p>
        </w:tc>
        <w:tc>
          <w:tcPr>
            <w:tcW w:w="1408" w:type="dxa"/>
            <w:gridSpan w:val="2"/>
            <w:vAlign w:val="center"/>
          </w:tcPr>
          <w:p>
            <w:r>
              <w:t>{{BAS_unit}}</w:t>
            </w:r>
          </w:p>
        </w:tc>
      </w:tr>
      <w:tr w:rsidR="009967D1" w14:paraId="3DDE770E" w14:textId="77777777">
        <w:trPr>
          <w:trHeight w:val="432"/>
          <w:jc w:val="center"/>
        </w:trPr>
        <w:tc>
          <w:tcPr>
            <w:tcW w:w="1150" w:type="dxa"/>
            <w:vAlign w:val="center"/>
          </w:tcPr>
          <w:p w14:paraId="44580E5B" w14:textId="77777777" w:rsidR="009967D1" w:rsidRDefault="0080134E">
            <w:pPr>
              <w:spacing w:line="400" w:lineRule="exact"/>
              <w:jc w:val="center"/>
              <w:rPr>
                <w:b/>
                <w:bCs/>
                <w:color w:val="000000" w:themeColor="text1"/>
                <w:sz w:val="24"/>
              </w:rPr>
            </w:pPr>
            <w:r>
              <w:rPr>
                <w:b/>
                <w:bCs/>
                <w:color w:val="000000" w:themeColor="text1"/>
                <w:sz w:val="24"/>
              </w:rPr>
              <w:t>BAS%</w:t>
            </w:r>
          </w:p>
        </w:tc>
        <w:tc>
          <w:tcPr>
            <w:tcW w:w="2536" w:type="dxa"/>
            <w:gridSpan w:val="2"/>
            <w:vAlign w:val="center"/>
          </w:tcPr>
          <w:p w14:paraId="012B87D0" w14:textId="77777777" w:rsidR="009967D1" w:rsidRDefault="0080134E">
            <w:pPr>
              <w:spacing w:line="400" w:lineRule="exact"/>
              <w:jc w:val="center"/>
              <w:rPr>
                <w:b/>
                <w:bCs/>
                <w:color w:val="000000" w:themeColor="text1"/>
                <w:sz w:val="24"/>
              </w:rPr>
            </w:pPr>
            <w:r>
              <w:rPr>
                <w:b/>
                <w:bCs/>
                <w:color w:val="000000" w:themeColor="text1"/>
                <w:sz w:val="24"/>
              </w:rPr>
              <w:t>嗜碱细胞百分含量</w:t>
            </w:r>
          </w:p>
        </w:tc>
        <w:tc>
          <w:tcPr>
            <w:tcW w:w="1754" w:type="dxa"/>
            <w:gridSpan w:val="2"/>
            <w:vAlign w:val="center"/>
          </w:tcPr>
          <w:p>
            <w:r>
              <w:t>{{BASpct_result}}</w:t>
            </w:r>
          </w:p>
        </w:tc>
        <w:tc>
          <w:tcPr>
            <w:tcW w:w="825" w:type="dxa"/>
            <w:gridSpan w:val="2"/>
            <w:vAlign w:val="center"/>
          </w:tcPr>
          <w:p>
            <w:r>
              <w:t>{{BASpct_point}}</w:t>
            </w:r>
          </w:p>
        </w:tc>
        <w:tc>
          <w:tcPr>
            <w:tcW w:w="1980" w:type="dxa"/>
            <w:gridSpan w:val="2"/>
            <w:vAlign w:val="center"/>
          </w:tcPr>
          <w:p>
            <w:r>
              <w:t>{{BASpct_refer}}</w:t>
            </w:r>
          </w:p>
        </w:tc>
        <w:tc>
          <w:tcPr>
            <w:tcW w:w="1408" w:type="dxa"/>
            <w:gridSpan w:val="2"/>
            <w:vAlign w:val="center"/>
          </w:tcPr>
          <w:p>
            <w:r>
              <w:t>{{BASpct_unit}}</w:t>
            </w:r>
          </w:p>
        </w:tc>
      </w:tr>
      <w:tr w:rsidR="009967D1" w14:paraId="26544041" w14:textId="77777777">
        <w:trPr>
          <w:trHeight w:val="1651"/>
          <w:jc w:val="center"/>
        </w:trPr>
        <w:tc>
          <w:tcPr>
            <w:tcW w:w="9653" w:type="dxa"/>
            <w:gridSpan w:val="11"/>
            <w:vAlign w:val="center"/>
          </w:tcPr>
          <w:p w14:paraId="1A8A18DF" w14:textId="77777777" w:rsidR="009967D1" w:rsidRDefault="009967D1">
            <w:pPr>
              <w:jc w:val="left"/>
              <w:rPr>
                <w:b/>
                <w:bCs/>
                <w:color w:val="404040" w:themeColor="text1" w:themeTint="BF"/>
                <w:szCs w:val="22"/>
              </w:rPr>
            </w:pPr>
          </w:p>
          <w:p w14:paraId="3EE8F31C" w14:textId="77777777" w:rsidR="009967D1" w:rsidRDefault="0080134E">
            <w:r>
              <w:rPr>
                <w:b/>
                <w:bCs/>
              </w:rPr>
              <w:t>Clinical Significance:</w:t>
            </w:r>
            <w:r>
              <w:t xml:space="preserve"> Participates in allergic reactions and releases bioactive substances (such as histamine). Although their number is small, they are valuable for the diagnosis of allergies and certain blood diseases. The normal count is (0 - 0.06) × 10⁹/L, and the percentage is 0% - 1%.</w:t>
            </w:r>
          </w:p>
          <w:p w14:paraId="09C359AF" w14:textId="77777777" w:rsidR="009967D1" w:rsidRDefault="0080134E">
            <w:pPr>
              <w:rPr>
                <w:color w:val="404040" w:themeColor="text1" w:themeTint="BF"/>
                <w:szCs w:val="22"/>
              </w:rPr>
            </w:pPr>
            <w:r>
              <w:rPr>
                <w:b/>
                <w:bCs/>
              </w:rPr>
              <w:t>临床意义：</w:t>
            </w:r>
            <w:r>
              <w:t>参与过敏反应，释放生物活性物质（如组胺），数量少但对过敏、某些血液疾病诊断有价值，正常数量（0-0.06）×10⁹/L，百分比0%-1%。</w:t>
            </w:r>
          </w:p>
        </w:tc>
      </w:tr>
    </w:tbl>
    <w:p w14:paraId="0931C181" w14:textId="77777777" w:rsidR="009967D1" w:rsidRDefault="009967D1" w:rsidP="004619DA">
      <w:pPr>
        <w:pStyle w:val="0"/>
      </w:pPr>
    </w:p>
    <w:p w14:paraId="54D914B4"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1"/>
        <w:gridCol w:w="403"/>
        <w:gridCol w:w="2088"/>
        <w:gridCol w:w="1668"/>
        <w:gridCol w:w="52"/>
        <w:gridCol w:w="784"/>
        <w:gridCol w:w="28"/>
        <w:gridCol w:w="671"/>
        <w:gridCol w:w="1275"/>
        <w:gridCol w:w="672"/>
        <w:gridCol w:w="711"/>
      </w:tblGrid>
      <w:tr w:rsidR="009967D1" w14:paraId="552E389E" w14:textId="77777777">
        <w:trPr>
          <w:trHeight w:hRule="exact" w:val="113"/>
          <w:jc w:val="center"/>
        </w:trPr>
        <w:tc>
          <w:tcPr>
            <w:tcW w:w="1704" w:type="dxa"/>
            <w:gridSpan w:val="2"/>
            <w:tcBorders>
              <w:top w:val="single" w:sz="4" w:space="0" w:color="auto"/>
            </w:tcBorders>
            <w:vAlign w:val="center"/>
          </w:tcPr>
          <w:p w14:paraId="26FC28FD" w14:textId="77777777" w:rsidR="009967D1" w:rsidRDefault="009967D1">
            <w:pPr>
              <w:spacing w:line="300" w:lineRule="exact"/>
              <w:jc w:val="left"/>
              <w:rPr>
                <w:color w:val="323E4F" w:themeColor="text2" w:themeShade="BF"/>
                <w:sz w:val="2"/>
                <w:szCs w:val="2"/>
              </w:rPr>
            </w:pPr>
          </w:p>
        </w:tc>
        <w:tc>
          <w:tcPr>
            <w:tcW w:w="3756" w:type="dxa"/>
            <w:gridSpan w:val="2"/>
            <w:tcBorders>
              <w:top w:val="single" w:sz="4" w:space="0" w:color="auto"/>
            </w:tcBorders>
            <w:vAlign w:val="center"/>
          </w:tcPr>
          <w:p w14:paraId="32BD4575" w14:textId="77777777" w:rsidR="009967D1" w:rsidRDefault="009967D1">
            <w:pPr>
              <w:spacing w:line="300" w:lineRule="exact"/>
              <w:jc w:val="center"/>
              <w:rPr>
                <w:color w:val="323E4F" w:themeColor="text2" w:themeShade="BF"/>
                <w:sz w:val="2"/>
                <w:szCs w:val="2"/>
              </w:rPr>
            </w:pPr>
          </w:p>
        </w:tc>
        <w:tc>
          <w:tcPr>
            <w:tcW w:w="836" w:type="dxa"/>
            <w:gridSpan w:val="2"/>
            <w:tcBorders>
              <w:top w:val="single" w:sz="4" w:space="0" w:color="auto"/>
            </w:tcBorders>
            <w:vAlign w:val="center"/>
          </w:tcPr>
          <w:p w14:paraId="221E614A" w14:textId="77777777" w:rsidR="009967D1" w:rsidRDefault="009967D1">
            <w:pPr>
              <w:spacing w:line="300" w:lineRule="exact"/>
              <w:jc w:val="center"/>
              <w:rPr>
                <w:color w:val="323E4F" w:themeColor="text2" w:themeShade="BF"/>
                <w:sz w:val="2"/>
                <w:szCs w:val="2"/>
              </w:rPr>
            </w:pPr>
          </w:p>
        </w:tc>
        <w:tc>
          <w:tcPr>
            <w:tcW w:w="699" w:type="dxa"/>
            <w:gridSpan w:val="2"/>
            <w:tcBorders>
              <w:top w:val="single" w:sz="4" w:space="0" w:color="auto"/>
            </w:tcBorders>
            <w:vAlign w:val="center"/>
          </w:tcPr>
          <w:p w14:paraId="028707D0" w14:textId="77777777" w:rsidR="009967D1" w:rsidRDefault="009967D1">
            <w:pPr>
              <w:spacing w:line="300" w:lineRule="exact"/>
              <w:jc w:val="center"/>
              <w:rPr>
                <w:color w:val="323E4F" w:themeColor="text2" w:themeShade="BF"/>
                <w:sz w:val="2"/>
                <w:szCs w:val="2"/>
              </w:rPr>
            </w:pPr>
          </w:p>
        </w:tc>
        <w:tc>
          <w:tcPr>
            <w:tcW w:w="1947" w:type="dxa"/>
            <w:gridSpan w:val="2"/>
            <w:tcBorders>
              <w:top w:val="single" w:sz="4" w:space="0" w:color="auto"/>
            </w:tcBorders>
            <w:vAlign w:val="center"/>
          </w:tcPr>
          <w:p w14:paraId="11436552" w14:textId="77777777" w:rsidR="009967D1" w:rsidRDefault="009967D1">
            <w:pPr>
              <w:spacing w:line="300" w:lineRule="exact"/>
              <w:jc w:val="left"/>
              <w:rPr>
                <w:color w:val="323E4F" w:themeColor="text2" w:themeShade="BF"/>
                <w:sz w:val="2"/>
                <w:szCs w:val="2"/>
              </w:rPr>
            </w:pPr>
          </w:p>
        </w:tc>
        <w:tc>
          <w:tcPr>
            <w:tcW w:w="711" w:type="dxa"/>
            <w:tcBorders>
              <w:top w:val="single" w:sz="4" w:space="0" w:color="auto"/>
            </w:tcBorders>
            <w:vAlign w:val="center"/>
          </w:tcPr>
          <w:p w14:paraId="6192BB74" w14:textId="77777777" w:rsidR="009967D1" w:rsidRDefault="009967D1">
            <w:pPr>
              <w:spacing w:line="300" w:lineRule="exact"/>
              <w:jc w:val="right"/>
              <w:rPr>
                <w:color w:val="323E4F" w:themeColor="text2" w:themeShade="BF"/>
                <w:sz w:val="2"/>
                <w:szCs w:val="2"/>
              </w:rPr>
            </w:pPr>
          </w:p>
        </w:tc>
      </w:tr>
      <w:tr w:rsidR="009967D1" w14:paraId="23A21901" w14:textId="77777777">
        <w:trPr>
          <w:trHeight w:val="432"/>
          <w:jc w:val="center"/>
        </w:trPr>
        <w:tc>
          <w:tcPr>
            <w:tcW w:w="1301" w:type="dxa"/>
            <w:vAlign w:val="center"/>
          </w:tcPr>
          <w:p w14:paraId="693ED951" w14:textId="77777777" w:rsidR="009967D1" w:rsidRDefault="0080134E">
            <w:pPr>
              <w:spacing w:line="400" w:lineRule="exact"/>
              <w:jc w:val="center"/>
              <w:rPr>
                <w:b/>
                <w:bCs/>
                <w:color w:val="000000" w:themeColor="text1"/>
                <w:sz w:val="24"/>
              </w:rPr>
            </w:pPr>
            <w:r>
              <w:rPr>
                <w:rFonts w:hint="eastAsia"/>
                <w:b/>
                <w:bCs/>
                <w:color w:val="000000" w:themeColor="text1"/>
                <w:sz w:val="24"/>
              </w:rPr>
              <w:t>LYMPH</w:t>
            </w:r>
          </w:p>
        </w:tc>
        <w:tc>
          <w:tcPr>
            <w:tcW w:w="2491" w:type="dxa"/>
            <w:gridSpan w:val="2"/>
            <w:vAlign w:val="center"/>
          </w:tcPr>
          <w:p w14:paraId="2B23E30D" w14:textId="77777777" w:rsidR="009967D1" w:rsidRDefault="0080134E">
            <w:pPr>
              <w:spacing w:line="400" w:lineRule="exact"/>
              <w:jc w:val="center"/>
              <w:rPr>
                <w:b/>
                <w:bCs/>
                <w:color w:val="000000" w:themeColor="text1"/>
                <w:sz w:val="24"/>
              </w:rPr>
            </w:pPr>
            <w:r>
              <w:rPr>
                <w:rFonts w:hint="eastAsia"/>
                <w:b/>
                <w:bCs/>
                <w:color w:val="000000" w:themeColor="text1"/>
                <w:sz w:val="24"/>
              </w:rPr>
              <w:t>淋巴细胞数量</w:t>
            </w:r>
          </w:p>
        </w:tc>
        <w:tc>
          <w:tcPr>
            <w:tcW w:w="1720" w:type="dxa"/>
            <w:gridSpan w:val="2"/>
            <w:vAlign w:val="center"/>
          </w:tcPr>
          <w:p>
            <w:r>
              <w:t>{{LYMPH_result}}</w:t>
            </w:r>
          </w:p>
        </w:tc>
        <w:tc>
          <w:tcPr>
            <w:tcW w:w="812" w:type="dxa"/>
            <w:gridSpan w:val="2"/>
            <w:vAlign w:val="center"/>
          </w:tcPr>
          <w:p>
            <w:r>
              <w:t>{{LYMPH_point}}</w:t>
            </w:r>
          </w:p>
        </w:tc>
        <w:tc>
          <w:tcPr>
            <w:tcW w:w="1946" w:type="dxa"/>
            <w:gridSpan w:val="2"/>
            <w:vAlign w:val="center"/>
          </w:tcPr>
          <w:p>
            <w:r>
              <w:t>{{LYMPH_refer}}</w:t>
            </w:r>
          </w:p>
        </w:tc>
        <w:tc>
          <w:tcPr>
            <w:tcW w:w="1383" w:type="dxa"/>
            <w:gridSpan w:val="2"/>
            <w:vAlign w:val="center"/>
          </w:tcPr>
          <w:p>
            <w:r>
              <w:t>{{LYMPH_unit}}</w:t>
            </w:r>
          </w:p>
        </w:tc>
      </w:tr>
      <w:tr w:rsidR="009967D1" w14:paraId="02CF94D2" w14:textId="77777777">
        <w:trPr>
          <w:trHeight w:val="432"/>
          <w:jc w:val="center"/>
        </w:trPr>
        <w:tc>
          <w:tcPr>
            <w:tcW w:w="1301" w:type="dxa"/>
            <w:vAlign w:val="center"/>
          </w:tcPr>
          <w:p w14:paraId="1CA5F37D" w14:textId="77777777" w:rsidR="009967D1" w:rsidRDefault="0080134E">
            <w:pPr>
              <w:spacing w:line="400" w:lineRule="exact"/>
              <w:jc w:val="center"/>
              <w:rPr>
                <w:b/>
                <w:bCs/>
                <w:color w:val="000000" w:themeColor="text1"/>
                <w:sz w:val="24"/>
              </w:rPr>
            </w:pPr>
            <w:r>
              <w:rPr>
                <w:b/>
                <w:bCs/>
                <w:color w:val="000000" w:themeColor="text1"/>
                <w:sz w:val="24"/>
              </w:rPr>
              <w:t>LYMPH%</w:t>
            </w:r>
          </w:p>
        </w:tc>
        <w:tc>
          <w:tcPr>
            <w:tcW w:w="2491" w:type="dxa"/>
            <w:gridSpan w:val="2"/>
            <w:vAlign w:val="center"/>
          </w:tcPr>
          <w:p w14:paraId="257AB7C3" w14:textId="77777777" w:rsidR="009967D1" w:rsidRDefault="0080134E">
            <w:pPr>
              <w:spacing w:line="400" w:lineRule="exact"/>
              <w:jc w:val="center"/>
              <w:rPr>
                <w:b/>
                <w:bCs/>
                <w:color w:val="000000" w:themeColor="text1"/>
                <w:sz w:val="24"/>
              </w:rPr>
            </w:pPr>
            <w:r>
              <w:rPr>
                <w:b/>
                <w:bCs/>
                <w:color w:val="000000" w:themeColor="text1"/>
                <w:sz w:val="24"/>
              </w:rPr>
              <w:t>淋巴细胞百分含量</w:t>
            </w:r>
          </w:p>
        </w:tc>
        <w:tc>
          <w:tcPr>
            <w:tcW w:w="1720" w:type="dxa"/>
            <w:gridSpan w:val="2"/>
            <w:vAlign w:val="center"/>
          </w:tcPr>
          <w:p>
            <w:r>
              <w:t>{{LYMPHpct_result}}</w:t>
            </w:r>
          </w:p>
        </w:tc>
        <w:tc>
          <w:tcPr>
            <w:tcW w:w="812" w:type="dxa"/>
            <w:gridSpan w:val="2"/>
            <w:vAlign w:val="center"/>
          </w:tcPr>
          <w:p>
            <w:r>
              <w:t>{{LYMPHpct_point}}</w:t>
            </w:r>
          </w:p>
        </w:tc>
        <w:tc>
          <w:tcPr>
            <w:tcW w:w="1946" w:type="dxa"/>
            <w:gridSpan w:val="2"/>
            <w:vAlign w:val="center"/>
          </w:tcPr>
          <w:p>
            <w:r>
              <w:t>{{LYMPHpct_refer}}</w:t>
            </w:r>
          </w:p>
        </w:tc>
        <w:tc>
          <w:tcPr>
            <w:tcW w:w="1383" w:type="dxa"/>
            <w:gridSpan w:val="2"/>
            <w:vAlign w:val="center"/>
          </w:tcPr>
          <w:p>
            <w:r>
              <w:t>{{LYMPHpct_unit}}</w:t>
            </w:r>
          </w:p>
        </w:tc>
      </w:tr>
      <w:tr w:rsidR="009967D1" w14:paraId="20F25CC6" w14:textId="77777777">
        <w:trPr>
          <w:trHeight w:val="1651"/>
          <w:jc w:val="center"/>
        </w:trPr>
        <w:tc>
          <w:tcPr>
            <w:tcW w:w="9653" w:type="dxa"/>
            <w:gridSpan w:val="11"/>
            <w:vAlign w:val="center"/>
          </w:tcPr>
          <w:p w14:paraId="708CFF46" w14:textId="77777777" w:rsidR="009967D1" w:rsidRDefault="009967D1">
            <w:pPr>
              <w:jc w:val="left"/>
              <w:rPr>
                <w:b/>
                <w:bCs/>
                <w:color w:val="404040" w:themeColor="text1" w:themeTint="BF"/>
                <w:szCs w:val="22"/>
              </w:rPr>
            </w:pPr>
          </w:p>
          <w:p w14:paraId="6C2A091B" w14:textId="77777777" w:rsidR="009967D1" w:rsidRDefault="0080134E">
            <w:r>
              <w:rPr>
                <w:b/>
                <w:bCs/>
              </w:rPr>
              <w:t>Clinical Significance:</w:t>
            </w:r>
            <w:r>
              <w:t xml:space="preserve"> Lymphocytes are an important part of immune cells and participate in specific immunity (such as humoral immunity and cellular immunity). Changes in their count and percentage reflect immune status, infections, and blood diseases, etc. The normal count is (1.1 - 3.2) × 10⁹/L, and the percentage is 20% - 50%.</w:t>
            </w:r>
          </w:p>
          <w:p w14:paraId="23AC3823" w14:textId="77777777" w:rsidR="009967D1" w:rsidRDefault="0080134E">
            <w:pPr>
              <w:rPr>
                <w:color w:val="404040" w:themeColor="text1" w:themeTint="BF"/>
                <w:szCs w:val="22"/>
              </w:rPr>
            </w:pPr>
            <w:r>
              <w:rPr>
                <w:b/>
                <w:bCs/>
              </w:rPr>
              <w:t>临床意义：</w:t>
            </w:r>
            <w:r>
              <w:t>淋巴细胞是免疫细胞重要组成，参与特异性免疫（如体液免疫、细胞免疫），数量和百分比变化反映免疫状态、感染及血液疾病等，正常数量（1.1-3.2）×10⁹/L，百分比20%-50%。</w:t>
            </w:r>
          </w:p>
        </w:tc>
      </w:tr>
    </w:tbl>
    <w:p w14:paraId="0CDDEB67" w14:textId="77777777" w:rsidR="009967D1" w:rsidRDefault="009967D1" w:rsidP="004619DA">
      <w:pPr>
        <w:pStyle w:val="0"/>
      </w:pPr>
    </w:p>
    <w:p w14:paraId="389C8F3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0"/>
        <w:gridCol w:w="406"/>
        <w:gridCol w:w="2108"/>
        <w:gridCol w:w="1686"/>
        <w:gridCol w:w="53"/>
        <w:gridCol w:w="791"/>
        <w:gridCol w:w="28"/>
        <w:gridCol w:w="676"/>
        <w:gridCol w:w="1288"/>
        <w:gridCol w:w="680"/>
        <w:gridCol w:w="717"/>
      </w:tblGrid>
      <w:tr w:rsidR="009967D1" w14:paraId="1B42BC95" w14:textId="77777777">
        <w:trPr>
          <w:trHeight w:hRule="exact" w:val="113"/>
          <w:jc w:val="center"/>
        </w:trPr>
        <w:tc>
          <w:tcPr>
            <w:tcW w:w="1626" w:type="dxa"/>
            <w:gridSpan w:val="2"/>
            <w:tcBorders>
              <w:top w:val="single" w:sz="4" w:space="0" w:color="auto"/>
            </w:tcBorders>
            <w:vAlign w:val="center"/>
          </w:tcPr>
          <w:p w14:paraId="692FA8D7" w14:textId="77777777" w:rsidR="009967D1" w:rsidRDefault="009967D1">
            <w:pPr>
              <w:spacing w:line="300" w:lineRule="exact"/>
              <w:jc w:val="left"/>
              <w:rPr>
                <w:color w:val="323E4F" w:themeColor="text2" w:themeShade="BF"/>
                <w:sz w:val="2"/>
                <w:szCs w:val="2"/>
              </w:rPr>
            </w:pPr>
          </w:p>
        </w:tc>
        <w:tc>
          <w:tcPr>
            <w:tcW w:w="3794" w:type="dxa"/>
            <w:gridSpan w:val="2"/>
            <w:tcBorders>
              <w:top w:val="single" w:sz="4" w:space="0" w:color="auto"/>
            </w:tcBorders>
            <w:vAlign w:val="center"/>
          </w:tcPr>
          <w:p w14:paraId="646D3B36" w14:textId="77777777" w:rsidR="009967D1" w:rsidRDefault="009967D1">
            <w:pPr>
              <w:spacing w:line="300" w:lineRule="exact"/>
              <w:jc w:val="center"/>
              <w:rPr>
                <w:color w:val="323E4F" w:themeColor="text2" w:themeShade="BF"/>
                <w:sz w:val="2"/>
                <w:szCs w:val="2"/>
              </w:rPr>
            </w:pPr>
          </w:p>
        </w:tc>
        <w:tc>
          <w:tcPr>
            <w:tcW w:w="844" w:type="dxa"/>
            <w:gridSpan w:val="2"/>
            <w:tcBorders>
              <w:top w:val="single" w:sz="4" w:space="0" w:color="auto"/>
            </w:tcBorders>
            <w:vAlign w:val="center"/>
          </w:tcPr>
          <w:p w14:paraId="4D85712A" w14:textId="77777777" w:rsidR="009967D1" w:rsidRDefault="009967D1">
            <w:pPr>
              <w:spacing w:line="300" w:lineRule="exact"/>
              <w:jc w:val="center"/>
              <w:rPr>
                <w:color w:val="323E4F" w:themeColor="text2" w:themeShade="BF"/>
                <w:sz w:val="2"/>
                <w:szCs w:val="2"/>
              </w:rPr>
            </w:pPr>
          </w:p>
        </w:tc>
        <w:tc>
          <w:tcPr>
            <w:tcW w:w="704" w:type="dxa"/>
            <w:gridSpan w:val="2"/>
            <w:tcBorders>
              <w:top w:val="single" w:sz="4" w:space="0" w:color="auto"/>
            </w:tcBorders>
            <w:vAlign w:val="center"/>
          </w:tcPr>
          <w:p w14:paraId="13533D57" w14:textId="77777777" w:rsidR="009967D1" w:rsidRDefault="009967D1">
            <w:pPr>
              <w:spacing w:line="300" w:lineRule="exact"/>
              <w:jc w:val="center"/>
              <w:rPr>
                <w:color w:val="323E4F" w:themeColor="text2" w:themeShade="BF"/>
                <w:sz w:val="2"/>
                <w:szCs w:val="2"/>
              </w:rPr>
            </w:pPr>
          </w:p>
        </w:tc>
        <w:tc>
          <w:tcPr>
            <w:tcW w:w="1968" w:type="dxa"/>
            <w:gridSpan w:val="2"/>
            <w:tcBorders>
              <w:top w:val="single" w:sz="4" w:space="0" w:color="auto"/>
            </w:tcBorders>
            <w:vAlign w:val="center"/>
          </w:tcPr>
          <w:p w14:paraId="7B64E75A" w14:textId="77777777" w:rsidR="009967D1" w:rsidRDefault="009967D1">
            <w:pPr>
              <w:spacing w:line="300" w:lineRule="exact"/>
              <w:jc w:val="left"/>
              <w:rPr>
                <w:color w:val="323E4F" w:themeColor="text2" w:themeShade="BF"/>
                <w:sz w:val="2"/>
                <w:szCs w:val="2"/>
              </w:rPr>
            </w:pPr>
          </w:p>
        </w:tc>
        <w:tc>
          <w:tcPr>
            <w:tcW w:w="717" w:type="dxa"/>
            <w:tcBorders>
              <w:top w:val="single" w:sz="4" w:space="0" w:color="auto"/>
            </w:tcBorders>
            <w:vAlign w:val="center"/>
          </w:tcPr>
          <w:p w14:paraId="690C631A" w14:textId="77777777" w:rsidR="009967D1" w:rsidRDefault="009967D1">
            <w:pPr>
              <w:spacing w:line="300" w:lineRule="exact"/>
              <w:jc w:val="right"/>
              <w:rPr>
                <w:color w:val="323E4F" w:themeColor="text2" w:themeShade="BF"/>
                <w:sz w:val="2"/>
                <w:szCs w:val="2"/>
              </w:rPr>
            </w:pPr>
          </w:p>
        </w:tc>
      </w:tr>
      <w:tr w:rsidR="009967D1" w14:paraId="234E65F0" w14:textId="77777777">
        <w:trPr>
          <w:trHeight w:val="432"/>
          <w:jc w:val="center"/>
        </w:trPr>
        <w:tc>
          <w:tcPr>
            <w:tcW w:w="1220" w:type="dxa"/>
            <w:vAlign w:val="center"/>
          </w:tcPr>
          <w:p w14:paraId="6A495553" w14:textId="77777777" w:rsidR="009967D1" w:rsidRDefault="0080134E">
            <w:pPr>
              <w:spacing w:line="400" w:lineRule="exact"/>
              <w:jc w:val="center"/>
              <w:rPr>
                <w:b/>
                <w:bCs/>
                <w:color w:val="000000" w:themeColor="text1"/>
                <w:sz w:val="24"/>
              </w:rPr>
            </w:pPr>
            <w:r>
              <w:rPr>
                <w:rFonts w:hint="eastAsia"/>
                <w:b/>
                <w:bCs/>
                <w:color w:val="000000" w:themeColor="text1"/>
                <w:sz w:val="24"/>
              </w:rPr>
              <w:t>MONO</w:t>
            </w:r>
          </w:p>
        </w:tc>
        <w:tc>
          <w:tcPr>
            <w:tcW w:w="2514" w:type="dxa"/>
            <w:gridSpan w:val="2"/>
            <w:vAlign w:val="center"/>
          </w:tcPr>
          <w:p w14:paraId="1A5B5002" w14:textId="77777777" w:rsidR="009967D1" w:rsidRDefault="0080134E">
            <w:pPr>
              <w:spacing w:line="400" w:lineRule="exact"/>
              <w:jc w:val="center"/>
              <w:rPr>
                <w:b/>
                <w:bCs/>
                <w:color w:val="000000" w:themeColor="text1"/>
                <w:sz w:val="24"/>
              </w:rPr>
            </w:pPr>
            <w:r>
              <w:rPr>
                <w:rFonts w:hint="eastAsia"/>
                <w:b/>
                <w:bCs/>
                <w:color w:val="000000" w:themeColor="text1"/>
                <w:sz w:val="24"/>
              </w:rPr>
              <w:t>单核细胞数量</w:t>
            </w:r>
          </w:p>
        </w:tc>
        <w:tc>
          <w:tcPr>
            <w:tcW w:w="1739" w:type="dxa"/>
            <w:gridSpan w:val="2"/>
            <w:vAlign w:val="center"/>
          </w:tcPr>
          <w:p>
            <w:r>
              <w:t>{{MONO_result}}</w:t>
            </w:r>
          </w:p>
        </w:tc>
        <w:tc>
          <w:tcPr>
            <w:tcW w:w="819" w:type="dxa"/>
            <w:gridSpan w:val="2"/>
            <w:vAlign w:val="center"/>
          </w:tcPr>
          <w:p>
            <w:r>
              <w:t>{{MONO_point}}</w:t>
            </w:r>
          </w:p>
        </w:tc>
        <w:tc>
          <w:tcPr>
            <w:tcW w:w="1964" w:type="dxa"/>
            <w:gridSpan w:val="2"/>
            <w:vAlign w:val="center"/>
          </w:tcPr>
          <w:p>
            <w:r>
              <w:t>{{MONO_refer}}</w:t>
            </w:r>
          </w:p>
        </w:tc>
        <w:tc>
          <w:tcPr>
            <w:tcW w:w="1397" w:type="dxa"/>
            <w:gridSpan w:val="2"/>
            <w:vAlign w:val="center"/>
          </w:tcPr>
          <w:p>
            <w:r>
              <w:t>{{MONO_unit}}</w:t>
            </w:r>
          </w:p>
        </w:tc>
      </w:tr>
      <w:tr w:rsidR="009967D1" w14:paraId="17CE33F2" w14:textId="77777777">
        <w:trPr>
          <w:trHeight w:val="432"/>
          <w:jc w:val="center"/>
        </w:trPr>
        <w:tc>
          <w:tcPr>
            <w:tcW w:w="1220" w:type="dxa"/>
            <w:vAlign w:val="center"/>
          </w:tcPr>
          <w:p w14:paraId="11A9675B" w14:textId="77777777" w:rsidR="009967D1" w:rsidRDefault="0080134E">
            <w:pPr>
              <w:spacing w:line="400" w:lineRule="exact"/>
              <w:jc w:val="center"/>
              <w:rPr>
                <w:b/>
                <w:bCs/>
                <w:color w:val="000000" w:themeColor="text1"/>
                <w:sz w:val="24"/>
              </w:rPr>
            </w:pPr>
            <w:r>
              <w:rPr>
                <w:b/>
                <w:bCs/>
                <w:color w:val="000000" w:themeColor="text1"/>
                <w:sz w:val="24"/>
              </w:rPr>
              <w:t>MONO%</w:t>
            </w:r>
          </w:p>
        </w:tc>
        <w:tc>
          <w:tcPr>
            <w:tcW w:w="2514" w:type="dxa"/>
            <w:gridSpan w:val="2"/>
            <w:vAlign w:val="center"/>
          </w:tcPr>
          <w:p w14:paraId="2AEEC642" w14:textId="77777777" w:rsidR="009967D1" w:rsidRDefault="0080134E">
            <w:pPr>
              <w:spacing w:line="400" w:lineRule="exact"/>
              <w:jc w:val="center"/>
              <w:rPr>
                <w:b/>
                <w:bCs/>
                <w:color w:val="000000" w:themeColor="text1"/>
                <w:sz w:val="24"/>
              </w:rPr>
            </w:pPr>
            <w:r>
              <w:rPr>
                <w:b/>
                <w:bCs/>
                <w:color w:val="000000" w:themeColor="text1"/>
                <w:sz w:val="24"/>
              </w:rPr>
              <w:t>单核细胞百分含量</w:t>
            </w:r>
          </w:p>
        </w:tc>
        <w:tc>
          <w:tcPr>
            <w:tcW w:w="1739" w:type="dxa"/>
            <w:gridSpan w:val="2"/>
            <w:vAlign w:val="center"/>
          </w:tcPr>
          <w:p>
            <w:r>
              <w:t>{{MONOpct_result}}</w:t>
            </w:r>
          </w:p>
        </w:tc>
        <w:tc>
          <w:tcPr>
            <w:tcW w:w="819" w:type="dxa"/>
            <w:gridSpan w:val="2"/>
            <w:vAlign w:val="center"/>
          </w:tcPr>
          <w:p>
            <w:r>
              <w:t>{{MONOpct_point}}</w:t>
            </w:r>
          </w:p>
        </w:tc>
        <w:tc>
          <w:tcPr>
            <w:tcW w:w="1964" w:type="dxa"/>
            <w:gridSpan w:val="2"/>
            <w:vAlign w:val="center"/>
          </w:tcPr>
          <w:p>
            <w:r>
              <w:t>{{MONOpct_refer}}</w:t>
            </w:r>
          </w:p>
        </w:tc>
        <w:tc>
          <w:tcPr>
            <w:tcW w:w="1397" w:type="dxa"/>
            <w:gridSpan w:val="2"/>
            <w:vAlign w:val="center"/>
          </w:tcPr>
          <w:p>
            <w:r>
              <w:t>{{MONOpct_unit}}</w:t>
            </w:r>
          </w:p>
        </w:tc>
      </w:tr>
      <w:tr w:rsidR="009967D1" w14:paraId="33567E86" w14:textId="77777777">
        <w:trPr>
          <w:trHeight w:val="1651"/>
          <w:jc w:val="center"/>
        </w:trPr>
        <w:tc>
          <w:tcPr>
            <w:tcW w:w="9653" w:type="dxa"/>
            <w:gridSpan w:val="11"/>
            <w:vAlign w:val="center"/>
          </w:tcPr>
          <w:p w14:paraId="5CAB885B" w14:textId="77777777" w:rsidR="009967D1" w:rsidRDefault="009967D1">
            <w:pPr>
              <w:jc w:val="left"/>
              <w:rPr>
                <w:b/>
                <w:bCs/>
                <w:color w:val="404040" w:themeColor="text1" w:themeTint="BF"/>
                <w:szCs w:val="22"/>
              </w:rPr>
            </w:pPr>
          </w:p>
          <w:p w14:paraId="3B9AE2CD" w14:textId="77777777" w:rsidR="009967D1" w:rsidRDefault="0080134E">
            <w:r>
              <w:rPr>
                <w:b/>
                <w:bCs/>
              </w:rPr>
              <w:t>Clinical Significance:</w:t>
            </w:r>
            <w:r>
              <w:t xml:space="preserve"> Monocytes are precursors of macrophages and play a role in anti - infection and immune regulation, participating in the clearance of pathogens, foreign bodies, etc. The normal count is (0.1 - 0.6) × 10⁹/L, and the percentage is 3% - 10%.</w:t>
            </w:r>
          </w:p>
          <w:p w14:paraId="3FFBA0D9" w14:textId="77777777" w:rsidR="009967D1" w:rsidRDefault="0080134E">
            <w:pPr>
              <w:rPr>
                <w:color w:val="404040" w:themeColor="text1" w:themeTint="BF"/>
                <w:szCs w:val="22"/>
              </w:rPr>
            </w:pPr>
            <w:r>
              <w:rPr>
                <w:b/>
                <w:bCs/>
              </w:rPr>
              <w:t>临床意义：</w:t>
            </w:r>
            <w:r>
              <w:t>单核细胞是巨噬细胞的前体，在抗感染、免疫调节中起作用，参与清除病原体、异物等，</w:t>
            </w:r>
            <w:r>
              <w:lastRenderedPageBreak/>
              <w:t>正常数量（0.1-0.6）×10⁹/L，百分比3%-10%。</w:t>
            </w:r>
          </w:p>
        </w:tc>
      </w:tr>
    </w:tbl>
    <w:p w14:paraId="18409E6B" w14:textId="77777777" w:rsidR="009967D1" w:rsidRDefault="009967D1" w:rsidP="004619DA">
      <w:pPr>
        <w:pStyle w:val="0"/>
      </w:pPr>
    </w:p>
    <w:p w14:paraId="020A2A2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41EFBFF" w14:textId="77777777">
        <w:trPr>
          <w:trHeight w:hRule="exact" w:val="113"/>
          <w:jc w:val="center"/>
        </w:trPr>
        <w:tc>
          <w:tcPr>
            <w:tcW w:w="1560" w:type="dxa"/>
            <w:gridSpan w:val="2"/>
            <w:tcBorders>
              <w:top w:val="single" w:sz="4" w:space="0" w:color="auto"/>
            </w:tcBorders>
            <w:vAlign w:val="center"/>
          </w:tcPr>
          <w:p w14:paraId="5AFF748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5273E63"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D911B6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2D61F0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B71481A"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3E7F140" w14:textId="77777777" w:rsidR="009967D1" w:rsidRDefault="009967D1">
            <w:pPr>
              <w:spacing w:line="300" w:lineRule="exact"/>
              <w:jc w:val="right"/>
              <w:rPr>
                <w:color w:val="323E4F" w:themeColor="text2" w:themeShade="BF"/>
                <w:sz w:val="2"/>
                <w:szCs w:val="2"/>
              </w:rPr>
            </w:pPr>
          </w:p>
        </w:tc>
      </w:tr>
      <w:tr w:rsidR="009967D1" w14:paraId="45AD3472" w14:textId="77777777">
        <w:trPr>
          <w:trHeight w:val="432"/>
          <w:jc w:val="center"/>
        </w:trPr>
        <w:tc>
          <w:tcPr>
            <w:tcW w:w="1150" w:type="dxa"/>
            <w:vAlign w:val="center"/>
          </w:tcPr>
          <w:p w14:paraId="33B60DA6" w14:textId="77777777" w:rsidR="009967D1" w:rsidRDefault="0080134E">
            <w:pPr>
              <w:spacing w:line="400" w:lineRule="exact"/>
              <w:jc w:val="center"/>
              <w:rPr>
                <w:b/>
                <w:bCs/>
                <w:color w:val="000000" w:themeColor="text1"/>
                <w:sz w:val="24"/>
              </w:rPr>
            </w:pPr>
            <w:r>
              <w:rPr>
                <w:rFonts w:hint="eastAsia"/>
                <w:b/>
                <w:bCs/>
                <w:color w:val="000000" w:themeColor="text1"/>
                <w:sz w:val="24"/>
              </w:rPr>
              <w:t>PLT</w:t>
            </w:r>
          </w:p>
        </w:tc>
        <w:tc>
          <w:tcPr>
            <w:tcW w:w="2536" w:type="dxa"/>
            <w:gridSpan w:val="2"/>
            <w:vAlign w:val="center"/>
          </w:tcPr>
          <w:p w14:paraId="6A3672FE" w14:textId="77777777" w:rsidR="009967D1" w:rsidRDefault="0080134E">
            <w:pPr>
              <w:spacing w:line="400" w:lineRule="exact"/>
              <w:jc w:val="center"/>
              <w:rPr>
                <w:b/>
                <w:bCs/>
                <w:color w:val="000000" w:themeColor="text1"/>
                <w:sz w:val="24"/>
              </w:rPr>
            </w:pPr>
            <w:r>
              <w:rPr>
                <w:rFonts w:hint="eastAsia"/>
                <w:b/>
                <w:bCs/>
                <w:color w:val="000000" w:themeColor="text1"/>
                <w:sz w:val="24"/>
              </w:rPr>
              <w:t>血小板计数</w:t>
            </w:r>
          </w:p>
        </w:tc>
        <w:tc>
          <w:tcPr>
            <w:tcW w:w="1754" w:type="dxa"/>
            <w:gridSpan w:val="2"/>
            <w:vAlign w:val="center"/>
          </w:tcPr>
          <w:p>
            <w:r>
              <w:t>{{PLT_result}}</w:t>
            </w:r>
          </w:p>
        </w:tc>
        <w:tc>
          <w:tcPr>
            <w:tcW w:w="825" w:type="dxa"/>
            <w:gridSpan w:val="2"/>
            <w:vAlign w:val="center"/>
          </w:tcPr>
          <w:p>
            <w:r>
              <w:t>{{PLT_point}}</w:t>
            </w:r>
          </w:p>
        </w:tc>
        <w:tc>
          <w:tcPr>
            <w:tcW w:w="1980" w:type="dxa"/>
            <w:gridSpan w:val="2"/>
            <w:vAlign w:val="center"/>
          </w:tcPr>
          <w:p>
            <w:r>
              <w:t>{{PLT_refer}}</w:t>
            </w:r>
          </w:p>
        </w:tc>
        <w:tc>
          <w:tcPr>
            <w:tcW w:w="1408" w:type="dxa"/>
            <w:gridSpan w:val="2"/>
            <w:vAlign w:val="center"/>
          </w:tcPr>
          <w:p>
            <w:r>
              <w:t>{{PLT_unit}}</w:t>
            </w:r>
          </w:p>
        </w:tc>
      </w:tr>
      <w:tr w:rsidR="009967D1" w14:paraId="22B1ECCB" w14:textId="77777777">
        <w:trPr>
          <w:trHeight w:val="1651"/>
          <w:jc w:val="center"/>
        </w:trPr>
        <w:tc>
          <w:tcPr>
            <w:tcW w:w="9653" w:type="dxa"/>
            <w:gridSpan w:val="11"/>
            <w:vAlign w:val="center"/>
          </w:tcPr>
          <w:p w14:paraId="20C1D68D" w14:textId="77777777" w:rsidR="009967D1" w:rsidRDefault="009967D1">
            <w:pPr>
              <w:jc w:val="left"/>
              <w:rPr>
                <w:b/>
                <w:bCs/>
                <w:color w:val="404040" w:themeColor="text1" w:themeTint="BF"/>
                <w:szCs w:val="22"/>
              </w:rPr>
            </w:pPr>
          </w:p>
          <w:p w14:paraId="4750B098" w14:textId="77777777" w:rsidR="009967D1" w:rsidRDefault="0080134E">
            <w:r>
              <w:rPr>
                <w:b/>
                <w:bCs/>
              </w:rPr>
              <w:t>Clinical Significance:</w:t>
            </w:r>
            <w:r>
              <w:t xml:space="preserve"> Reflects the number of platelets, evaluates hemostatic function, and is important for the diagnosis of hemorrhagic diseases, thrombotic diseases, and treatment monitoring. The normal range is (125 - 350) × 10⁹/L.</w:t>
            </w:r>
          </w:p>
          <w:p w14:paraId="7D939B18" w14:textId="77777777" w:rsidR="009967D1" w:rsidRDefault="0080134E">
            <w:pPr>
              <w:rPr>
                <w:color w:val="404040" w:themeColor="text1" w:themeTint="BF"/>
                <w:szCs w:val="22"/>
              </w:rPr>
            </w:pPr>
            <w:r>
              <w:rPr>
                <w:b/>
                <w:bCs/>
              </w:rPr>
              <w:t>临床意义：</w:t>
            </w:r>
            <w:r>
              <w:t>反映血小板数量，评估止血功能，对出血性疾病、血栓性疾病诊断及治疗监测重要，正常（125-350）×10⁹/L。</w:t>
            </w:r>
          </w:p>
        </w:tc>
      </w:tr>
    </w:tbl>
    <w:p w14:paraId="1ED5F201" w14:textId="77777777" w:rsidR="009967D1" w:rsidRDefault="009967D1" w:rsidP="004619DA">
      <w:pPr>
        <w:pStyle w:val="0"/>
      </w:pPr>
    </w:p>
    <w:p w14:paraId="10B1C411"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FA39DD0" w14:textId="77777777">
        <w:trPr>
          <w:trHeight w:hRule="exact" w:val="113"/>
          <w:jc w:val="center"/>
        </w:trPr>
        <w:tc>
          <w:tcPr>
            <w:tcW w:w="1560" w:type="dxa"/>
            <w:gridSpan w:val="2"/>
            <w:tcBorders>
              <w:top w:val="single" w:sz="4" w:space="0" w:color="auto"/>
            </w:tcBorders>
            <w:vAlign w:val="center"/>
          </w:tcPr>
          <w:p w14:paraId="0EBB806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A39495B"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2BFF769"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983385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A14EFC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03F18B5" w14:textId="77777777" w:rsidR="009967D1" w:rsidRDefault="009967D1">
            <w:pPr>
              <w:spacing w:line="300" w:lineRule="exact"/>
              <w:jc w:val="right"/>
              <w:rPr>
                <w:color w:val="323E4F" w:themeColor="text2" w:themeShade="BF"/>
                <w:sz w:val="2"/>
                <w:szCs w:val="2"/>
              </w:rPr>
            </w:pPr>
          </w:p>
        </w:tc>
      </w:tr>
      <w:tr w:rsidR="009967D1" w14:paraId="22015341" w14:textId="77777777">
        <w:trPr>
          <w:trHeight w:val="432"/>
          <w:jc w:val="center"/>
        </w:trPr>
        <w:tc>
          <w:tcPr>
            <w:tcW w:w="1150" w:type="dxa"/>
            <w:vAlign w:val="center"/>
          </w:tcPr>
          <w:p w14:paraId="52EA0808" w14:textId="77777777" w:rsidR="009967D1" w:rsidRDefault="0080134E">
            <w:pPr>
              <w:spacing w:line="400" w:lineRule="exact"/>
              <w:jc w:val="center"/>
              <w:rPr>
                <w:b/>
                <w:bCs/>
                <w:color w:val="000000" w:themeColor="text1"/>
                <w:sz w:val="24"/>
              </w:rPr>
            </w:pPr>
            <w:r>
              <w:rPr>
                <w:rFonts w:hint="eastAsia"/>
                <w:b/>
                <w:bCs/>
                <w:color w:val="000000" w:themeColor="text1"/>
                <w:sz w:val="24"/>
              </w:rPr>
              <w:t>PCT</w:t>
            </w:r>
          </w:p>
        </w:tc>
        <w:tc>
          <w:tcPr>
            <w:tcW w:w="2536" w:type="dxa"/>
            <w:gridSpan w:val="2"/>
            <w:vAlign w:val="center"/>
          </w:tcPr>
          <w:p w14:paraId="77430214" w14:textId="77777777" w:rsidR="009967D1" w:rsidRDefault="0080134E">
            <w:pPr>
              <w:spacing w:line="400" w:lineRule="exact"/>
              <w:jc w:val="center"/>
              <w:rPr>
                <w:b/>
                <w:bCs/>
                <w:color w:val="000000" w:themeColor="text1"/>
                <w:sz w:val="24"/>
              </w:rPr>
            </w:pPr>
            <w:r>
              <w:rPr>
                <w:rFonts w:hint="eastAsia"/>
                <w:b/>
                <w:bCs/>
                <w:color w:val="000000" w:themeColor="text1"/>
                <w:sz w:val="24"/>
              </w:rPr>
              <w:t>血小板压积</w:t>
            </w:r>
          </w:p>
        </w:tc>
        <w:tc>
          <w:tcPr>
            <w:tcW w:w="1754" w:type="dxa"/>
            <w:gridSpan w:val="2"/>
            <w:vAlign w:val="center"/>
          </w:tcPr>
          <w:p>
            <w:r>
              <w:t>{{PCT_result}}</w:t>
            </w:r>
          </w:p>
        </w:tc>
        <w:tc>
          <w:tcPr>
            <w:tcW w:w="825" w:type="dxa"/>
            <w:gridSpan w:val="2"/>
            <w:vAlign w:val="center"/>
          </w:tcPr>
          <w:p>
            <w:r>
              <w:t>{{PCT_point}}</w:t>
            </w:r>
          </w:p>
        </w:tc>
        <w:tc>
          <w:tcPr>
            <w:tcW w:w="1980" w:type="dxa"/>
            <w:gridSpan w:val="2"/>
            <w:vAlign w:val="center"/>
          </w:tcPr>
          <w:p>
            <w:r>
              <w:t>{{PCT_refer}}</w:t>
            </w:r>
          </w:p>
        </w:tc>
        <w:tc>
          <w:tcPr>
            <w:tcW w:w="1408" w:type="dxa"/>
            <w:gridSpan w:val="2"/>
            <w:vAlign w:val="center"/>
          </w:tcPr>
          <w:p>
            <w:r>
              <w:t>{{PCT_unit}}</w:t>
            </w:r>
          </w:p>
        </w:tc>
      </w:tr>
      <w:tr w:rsidR="009967D1" w14:paraId="3B0B41EE" w14:textId="77777777">
        <w:trPr>
          <w:trHeight w:val="1651"/>
          <w:jc w:val="center"/>
        </w:trPr>
        <w:tc>
          <w:tcPr>
            <w:tcW w:w="9653" w:type="dxa"/>
            <w:gridSpan w:val="11"/>
            <w:vAlign w:val="center"/>
          </w:tcPr>
          <w:p w14:paraId="27E39A44" w14:textId="77777777" w:rsidR="009967D1" w:rsidRDefault="009967D1">
            <w:pPr>
              <w:jc w:val="left"/>
              <w:rPr>
                <w:b/>
                <w:bCs/>
                <w:color w:val="404040" w:themeColor="text1" w:themeTint="BF"/>
                <w:szCs w:val="22"/>
              </w:rPr>
            </w:pPr>
          </w:p>
          <w:p w14:paraId="61A1D846" w14:textId="77777777" w:rsidR="009967D1" w:rsidRDefault="0080134E">
            <w:r>
              <w:rPr>
                <w:b/>
                <w:bCs/>
              </w:rPr>
              <w:t>Clinical Significance:</w:t>
            </w:r>
            <w:r>
              <w:t xml:space="preserve"> Refers to the percentage of volume occupied by platelets in whole blood, related to the number and volume of platelets, assisting in evaluating platelet function and hematopoietic conditions. The normal range is 0.11% - 0.28%.</w:t>
            </w:r>
          </w:p>
          <w:p w14:paraId="18F2F0C4" w14:textId="77777777" w:rsidR="009967D1" w:rsidRDefault="0080134E">
            <w:pPr>
              <w:rPr>
                <w:color w:val="404040" w:themeColor="text1" w:themeTint="BF"/>
                <w:szCs w:val="22"/>
              </w:rPr>
            </w:pPr>
            <w:r>
              <w:rPr>
                <w:b/>
                <w:bCs/>
              </w:rPr>
              <w:t>临床意义：</w:t>
            </w:r>
            <w:r>
              <w:t>指血小板在全血中所占体积百分比，与血小板数量、体积有关，辅助评估血小板功能、造血情况，正常0.11%-0.28%。</w:t>
            </w:r>
          </w:p>
        </w:tc>
      </w:tr>
    </w:tbl>
    <w:p w14:paraId="39ED202D" w14:textId="77777777" w:rsidR="009967D1" w:rsidRDefault="009967D1" w:rsidP="004619DA">
      <w:pPr>
        <w:pStyle w:val="0"/>
      </w:pPr>
    </w:p>
    <w:p w14:paraId="58F83A9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7DFA0C6" w14:textId="77777777">
        <w:trPr>
          <w:trHeight w:hRule="exact" w:val="113"/>
          <w:jc w:val="center"/>
        </w:trPr>
        <w:tc>
          <w:tcPr>
            <w:tcW w:w="1560" w:type="dxa"/>
            <w:gridSpan w:val="2"/>
            <w:tcBorders>
              <w:top w:val="single" w:sz="4" w:space="0" w:color="auto"/>
            </w:tcBorders>
            <w:vAlign w:val="center"/>
          </w:tcPr>
          <w:p w14:paraId="45EC56F9"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6D1571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805DB0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3B069B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1D39685"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D4269BF" w14:textId="77777777" w:rsidR="009967D1" w:rsidRDefault="009967D1">
            <w:pPr>
              <w:spacing w:line="300" w:lineRule="exact"/>
              <w:jc w:val="right"/>
              <w:rPr>
                <w:color w:val="323E4F" w:themeColor="text2" w:themeShade="BF"/>
                <w:sz w:val="2"/>
                <w:szCs w:val="2"/>
              </w:rPr>
            </w:pPr>
          </w:p>
        </w:tc>
      </w:tr>
      <w:tr w:rsidR="009967D1" w14:paraId="7031058C" w14:textId="77777777">
        <w:trPr>
          <w:trHeight w:val="432"/>
          <w:jc w:val="center"/>
        </w:trPr>
        <w:tc>
          <w:tcPr>
            <w:tcW w:w="1150" w:type="dxa"/>
            <w:vAlign w:val="center"/>
          </w:tcPr>
          <w:p w14:paraId="3927A459" w14:textId="77777777" w:rsidR="009967D1" w:rsidRDefault="0080134E">
            <w:pPr>
              <w:spacing w:line="400" w:lineRule="exact"/>
              <w:jc w:val="center"/>
              <w:rPr>
                <w:b/>
                <w:bCs/>
                <w:color w:val="000000" w:themeColor="text1"/>
                <w:sz w:val="24"/>
              </w:rPr>
            </w:pPr>
            <w:r>
              <w:rPr>
                <w:rFonts w:hint="eastAsia"/>
                <w:b/>
                <w:bCs/>
                <w:color w:val="000000" w:themeColor="text1"/>
                <w:sz w:val="24"/>
              </w:rPr>
              <w:t>MPV</w:t>
            </w:r>
          </w:p>
        </w:tc>
        <w:tc>
          <w:tcPr>
            <w:tcW w:w="2536" w:type="dxa"/>
            <w:gridSpan w:val="2"/>
            <w:vAlign w:val="center"/>
          </w:tcPr>
          <w:p w14:paraId="40D8AAB2" w14:textId="77777777" w:rsidR="009967D1" w:rsidRDefault="0080134E">
            <w:pPr>
              <w:spacing w:line="400" w:lineRule="exact"/>
              <w:jc w:val="center"/>
              <w:rPr>
                <w:b/>
                <w:bCs/>
                <w:color w:val="000000" w:themeColor="text1"/>
                <w:sz w:val="24"/>
              </w:rPr>
            </w:pPr>
            <w:r>
              <w:rPr>
                <w:rFonts w:hint="eastAsia"/>
                <w:b/>
                <w:bCs/>
                <w:color w:val="000000" w:themeColor="text1"/>
                <w:sz w:val="24"/>
              </w:rPr>
              <w:t>平均血小板体积</w:t>
            </w:r>
          </w:p>
        </w:tc>
        <w:tc>
          <w:tcPr>
            <w:tcW w:w="1754" w:type="dxa"/>
            <w:gridSpan w:val="2"/>
            <w:vAlign w:val="center"/>
          </w:tcPr>
          <w:p>
            <w:r>
              <w:t>{{MPV_result}}</w:t>
            </w:r>
          </w:p>
        </w:tc>
        <w:tc>
          <w:tcPr>
            <w:tcW w:w="825" w:type="dxa"/>
            <w:gridSpan w:val="2"/>
            <w:vAlign w:val="center"/>
          </w:tcPr>
          <w:p>
            <w:r>
              <w:t>{{MPV_point}}</w:t>
            </w:r>
          </w:p>
        </w:tc>
        <w:tc>
          <w:tcPr>
            <w:tcW w:w="1980" w:type="dxa"/>
            <w:gridSpan w:val="2"/>
            <w:vAlign w:val="center"/>
          </w:tcPr>
          <w:p>
            <w:r>
              <w:t>{{MPV_refer}}</w:t>
            </w:r>
          </w:p>
        </w:tc>
        <w:tc>
          <w:tcPr>
            <w:tcW w:w="1408" w:type="dxa"/>
            <w:gridSpan w:val="2"/>
            <w:vAlign w:val="center"/>
          </w:tcPr>
          <w:p>
            <w:r>
              <w:t>{{MPV_unit}}</w:t>
            </w:r>
          </w:p>
        </w:tc>
      </w:tr>
      <w:tr w:rsidR="009967D1" w14:paraId="35AF166A" w14:textId="77777777">
        <w:trPr>
          <w:trHeight w:val="1651"/>
          <w:jc w:val="center"/>
        </w:trPr>
        <w:tc>
          <w:tcPr>
            <w:tcW w:w="9653" w:type="dxa"/>
            <w:gridSpan w:val="11"/>
            <w:vAlign w:val="center"/>
          </w:tcPr>
          <w:p w14:paraId="23AEBC07" w14:textId="77777777" w:rsidR="009967D1" w:rsidRDefault="009967D1">
            <w:pPr>
              <w:jc w:val="left"/>
              <w:rPr>
                <w:b/>
                <w:bCs/>
                <w:color w:val="404040" w:themeColor="text1" w:themeTint="BF"/>
                <w:szCs w:val="22"/>
              </w:rPr>
            </w:pPr>
          </w:p>
          <w:p w14:paraId="01702F3D" w14:textId="77777777" w:rsidR="009967D1" w:rsidRDefault="0080134E">
            <w:r>
              <w:rPr>
                <w:b/>
                <w:bCs/>
              </w:rPr>
              <w:t xml:space="preserve">Clinical Significance: </w:t>
            </w:r>
            <w:r>
              <w:t>Reflects the average volume of platelets, which has reference value for platelet function and disease diagnosis. The normal range is 7 - 11fL.</w:t>
            </w:r>
          </w:p>
          <w:p w14:paraId="47D0F0B4" w14:textId="77777777" w:rsidR="009967D1" w:rsidRDefault="0080134E">
            <w:pPr>
              <w:rPr>
                <w:color w:val="404040" w:themeColor="text1" w:themeTint="BF"/>
                <w:szCs w:val="22"/>
              </w:rPr>
            </w:pPr>
            <w:r>
              <w:rPr>
                <w:b/>
                <w:bCs/>
              </w:rPr>
              <w:t>临床意义：</w:t>
            </w:r>
            <w:r>
              <w:t>反映血小板的平均体积大小，对血小板功能、疾病诊断有参考价值，正常7-11fL。</w:t>
            </w:r>
          </w:p>
        </w:tc>
      </w:tr>
    </w:tbl>
    <w:p w14:paraId="18FBAA77" w14:textId="77777777" w:rsidR="009967D1" w:rsidRDefault="009967D1" w:rsidP="004619DA">
      <w:pPr>
        <w:pStyle w:val="0"/>
      </w:pPr>
    </w:p>
    <w:p w14:paraId="09C7556D"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C98C141" w14:textId="77777777">
        <w:trPr>
          <w:trHeight w:hRule="exact" w:val="113"/>
          <w:jc w:val="center"/>
        </w:trPr>
        <w:tc>
          <w:tcPr>
            <w:tcW w:w="1560" w:type="dxa"/>
            <w:gridSpan w:val="2"/>
            <w:tcBorders>
              <w:top w:val="single" w:sz="4" w:space="0" w:color="auto"/>
            </w:tcBorders>
            <w:vAlign w:val="center"/>
          </w:tcPr>
          <w:p w14:paraId="3F24E0EF"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4D5FC5B"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03EE622"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80F6D3C"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2DE6A3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99CBA02" w14:textId="77777777" w:rsidR="009967D1" w:rsidRDefault="009967D1">
            <w:pPr>
              <w:spacing w:line="300" w:lineRule="exact"/>
              <w:jc w:val="right"/>
              <w:rPr>
                <w:color w:val="323E4F" w:themeColor="text2" w:themeShade="BF"/>
                <w:sz w:val="2"/>
                <w:szCs w:val="2"/>
              </w:rPr>
            </w:pPr>
          </w:p>
        </w:tc>
      </w:tr>
      <w:tr w:rsidR="009967D1" w14:paraId="68066B61" w14:textId="77777777">
        <w:trPr>
          <w:trHeight w:val="432"/>
          <w:jc w:val="center"/>
        </w:trPr>
        <w:tc>
          <w:tcPr>
            <w:tcW w:w="1150" w:type="dxa"/>
            <w:vAlign w:val="center"/>
          </w:tcPr>
          <w:p w14:paraId="3B3AD559" w14:textId="77777777" w:rsidR="009967D1" w:rsidRDefault="0080134E">
            <w:pPr>
              <w:spacing w:line="400" w:lineRule="exact"/>
              <w:jc w:val="center"/>
              <w:rPr>
                <w:b/>
                <w:bCs/>
                <w:color w:val="000000" w:themeColor="text1"/>
                <w:sz w:val="24"/>
              </w:rPr>
            </w:pPr>
            <w:r>
              <w:rPr>
                <w:rFonts w:hint="eastAsia"/>
                <w:b/>
                <w:bCs/>
                <w:color w:val="000000" w:themeColor="text1"/>
                <w:sz w:val="24"/>
              </w:rPr>
              <w:t>PDW</w:t>
            </w:r>
          </w:p>
        </w:tc>
        <w:tc>
          <w:tcPr>
            <w:tcW w:w="2536" w:type="dxa"/>
            <w:gridSpan w:val="2"/>
            <w:vAlign w:val="center"/>
          </w:tcPr>
          <w:p w14:paraId="5B177F09" w14:textId="77777777" w:rsidR="009967D1" w:rsidRDefault="0080134E">
            <w:pPr>
              <w:spacing w:line="400" w:lineRule="exact"/>
              <w:jc w:val="center"/>
              <w:rPr>
                <w:b/>
                <w:bCs/>
                <w:color w:val="000000" w:themeColor="text1"/>
                <w:sz w:val="24"/>
              </w:rPr>
            </w:pPr>
            <w:r>
              <w:rPr>
                <w:rFonts w:hint="eastAsia"/>
                <w:b/>
                <w:bCs/>
                <w:color w:val="000000" w:themeColor="text1"/>
                <w:sz w:val="24"/>
              </w:rPr>
              <w:t>血小板分布宽度</w:t>
            </w:r>
          </w:p>
        </w:tc>
        <w:tc>
          <w:tcPr>
            <w:tcW w:w="1754" w:type="dxa"/>
            <w:gridSpan w:val="2"/>
            <w:vAlign w:val="center"/>
          </w:tcPr>
          <w:p>
            <w:r>
              <w:t>{{PDW_result}}</w:t>
            </w:r>
          </w:p>
        </w:tc>
        <w:tc>
          <w:tcPr>
            <w:tcW w:w="825" w:type="dxa"/>
            <w:gridSpan w:val="2"/>
            <w:vAlign w:val="center"/>
          </w:tcPr>
          <w:p>
            <w:r>
              <w:t>{{PDW_point}}</w:t>
            </w:r>
          </w:p>
        </w:tc>
        <w:tc>
          <w:tcPr>
            <w:tcW w:w="1980" w:type="dxa"/>
            <w:gridSpan w:val="2"/>
            <w:vAlign w:val="center"/>
          </w:tcPr>
          <w:p>
            <w:r>
              <w:t>{{PDW_refer}}</w:t>
            </w:r>
          </w:p>
        </w:tc>
        <w:tc>
          <w:tcPr>
            <w:tcW w:w="1408" w:type="dxa"/>
            <w:gridSpan w:val="2"/>
            <w:vAlign w:val="center"/>
          </w:tcPr>
          <w:p>
            <w:r>
              <w:t>{{PDW_unit}}</w:t>
            </w:r>
          </w:p>
        </w:tc>
      </w:tr>
      <w:tr w:rsidR="009967D1" w14:paraId="2AEF0C1D" w14:textId="77777777">
        <w:trPr>
          <w:trHeight w:val="1651"/>
          <w:jc w:val="center"/>
        </w:trPr>
        <w:tc>
          <w:tcPr>
            <w:tcW w:w="9653" w:type="dxa"/>
            <w:gridSpan w:val="11"/>
            <w:vAlign w:val="center"/>
          </w:tcPr>
          <w:p w14:paraId="5952502A" w14:textId="77777777" w:rsidR="009967D1" w:rsidRDefault="009967D1">
            <w:pPr>
              <w:jc w:val="left"/>
              <w:rPr>
                <w:b/>
                <w:bCs/>
                <w:color w:val="404040" w:themeColor="text1" w:themeTint="BF"/>
                <w:szCs w:val="22"/>
              </w:rPr>
            </w:pPr>
          </w:p>
          <w:p w14:paraId="45DA32A0" w14:textId="77777777" w:rsidR="009967D1" w:rsidRDefault="0080134E">
            <w:r>
              <w:rPr>
                <w:b/>
                <w:bCs/>
              </w:rPr>
              <w:t xml:space="preserve">Clinical Significance: </w:t>
            </w:r>
            <w:r>
              <w:t>Reflects the degree of dispersion of platelet volume, indicating the uniformity of platelet volume, assisting in judging platelet abnormalities. The normal PDW is 15% - 17%.</w:t>
            </w:r>
          </w:p>
          <w:p w14:paraId="5ED4F605" w14:textId="77777777" w:rsidR="009967D1" w:rsidRDefault="0080134E">
            <w:pPr>
              <w:rPr>
                <w:color w:val="404040" w:themeColor="text1" w:themeTint="BF"/>
                <w:szCs w:val="22"/>
              </w:rPr>
            </w:pPr>
            <w:r>
              <w:rPr>
                <w:b/>
                <w:bCs/>
              </w:rPr>
              <w:t>临床意义：</w:t>
            </w:r>
            <w:r>
              <w:t>反映血小板体积大小的离散程度，说明血小板体积的均一性，辅助判断血小板异常，正常PDW15%-17%。</w:t>
            </w:r>
          </w:p>
        </w:tc>
      </w:tr>
    </w:tbl>
    <w:p w14:paraId="2FB07666" w14:textId="77777777" w:rsidR="009967D1" w:rsidRDefault="009967D1" w:rsidP="004619DA">
      <w:pPr>
        <w:pStyle w:val="0"/>
      </w:pPr>
    </w:p>
    <w:p w14:paraId="1FBAF3EF"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102090EC" w14:textId="77777777" w:rsidR="0072137A" w:rsidRDefault="0072137A" w:rsidP="0072137A">
      <w:pPr>
        <w:pStyle w:val="3-"/>
      </w:pPr>
      <w:r>
        <w:lastRenderedPageBreak/>
        <w:t>Blood Sugar</w:t>
      </w:r>
      <w:r>
        <w:br/>
      </w:r>
      <w:r>
        <w:rPr>
          <w:rFonts w:hint="eastAsia"/>
        </w:rPr>
        <w:t>血糖</w:t>
      </w:r>
    </w:p>
    <w:p w14:paraId="4C646FD2" w14:textId="77777777" w:rsidR="0072137A" w:rsidRDefault="0072137A" w:rsidP="0072137A">
      <w:pPr>
        <w:pStyle w:val="0"/>
      </w:pPr>
    </w:p>
    <w:p w14:paraId="4422AD12" w14:textId="77777777" w:rsidR="0072137A" w:rsidRDefault="0072137A" w:rsidP="0072137A">
      <w:pPr>
        <w:pStyle w:val="00"/>
      </w:pPr>
      <w:r w:rsidRPr="002469DC">
        <w:t>Blood sugar testing is a fundamental laboratory evaluation for assessing glucose metabolism and screening for diabetes. The two most common indicators are Fasting Blood Sugar (FBS) and Hemoglobin A1C (HbA1C). Blood glucose levels reflect the body’s ability to utilize glucose, serving as a key marker of energy balance and insulin function. Abnormal levels not only indicate diabetes but are also closely linked to obesity, metabolic syndrome, and cardiovascular disease.</w:t>
      </w:r>
    </w:p>
    <w:p w14:paraId="015666F5" w14:textId="623A6C1A" w:rsidR="0072137A" w:rsidRDefault="0072137A" w:rsidP="0072137A">
      <w:pPr>
        <w:pStyle w:val="0"/>
      </w:pPr>
      <w:r>
        <w:t>血糖检测是评估糖代谢功能和筛查糖尿病的核心实验室项目，常用指标包括空腹血糖（</w:t>
      </w:r>
      <w:r>
        <w:t>Fasting Blood Sugar, FBS</w:t>
      </w:r>
      <w:r>
        <w:t>）和糖化血红蛋白（</w:t>
      </w:r>
      <w:r>
        <w:t>HbA1C</w:t>
      </w:r>
      <w:r>
        <w:t>）。血糖水平直接反映机体利用葡萄糖的能力，是能量代谢平衡与胰岛素功能的关键标志。异常的血糖状态不仅提示糖尿病，还与肥胖、代谢综合征、心血管疾病等密切相关。</w:t>
      </w:r>
    </w:p>
    <w:p w14:paraId="6AB86931" w14:textId="77777777" w:rsidR="0072137A" w:rsidRDefault="0072137A" w:rsidP="0072137A">
      <w:pPr>
        <w:pStyle w:val="00"/>
      </w:pPr>
      <w:r w:rsidRPr="002469DC">
        <w:t>Fasting Blood Sugar provides a snapshot of current glucose levels and is a cornerstone in diagnosing diabetes and impaired glucose tolerance. Persistently elevated values often suggest insufficient insulin secretion or reduced insulin sensitivity. HbA1C, on the other hand, reflects the average blood glucose over the previous 2–3 months, unaffected by short-term dietary or activity changes, making it an essential tool for evaluating long-term glycemic control and the risk of complications. The combination of FBS and HbA1C allows both dynamic and long-term assessments of glucose metabolism.</w:t>
      </w:r>
    </w:p>
    <w:p w14:paraId="3FA872BD" w14:textId="77777777" w:rsidR="0072137A" w:rsidRDefault="0072137A" w:rsidP="0072137A">
      <w:pPr>
        <w:pStyle w:val="0"/>
      </w:pPr>
      <w:r>
        <w:t>空腹血糖主要反映即时的血糖浓度，是诊断糖尿病和糖耐量异常的基础检测。若水平持续升高，往往提示胰岛素分泌不足或敏感性下降。糖化血红蛋白（</w:t>
      </w:r>
      <w:r>
        <w:t>HbA1C</w:t>
      </w:r>
      <w:r>
        <w:t>）则能够反映过去</w:t>
      </w:r>
      <w:r>
        <w:t xml:space="preserve"> 2–3 </w:t>
      </w:r>
      <w:r>
        <w:t>个月的平均血糖水平，不受短期饮食、运动等波动的影响，因此是评估糖尿病长期控制情况和并发症风险的重要指标。两者结合，可实现对糖代谢功能的动态与长期评估。</w:t>
      </w:r>
    </w:p>
    <w:p w14:paraId="3C469E38" w14:textId="1951DB06" w:rsidR="0072137A" w:rsidRDefault="0072137A" w:rsidP="0072137A">
      <w:pPr>
        <w:pStyle w:val="00"/>
      </w:pPr>
      <w:r w:rsidRPr="002469DC">
        <w:t>In preventive healthcare, blood sugar testing holds significant value for early detection of diabetes and prediabetes, while also highlighting risks of metabolic disturbances and chronic inflammation. Regular testing is especially crucial for high-risk groups, such as individuals with obesity, sedentary lifestyles, irregular eating habits, or a family history of diabetes. Monitoring results can guide dietary adjustments, exercise planning, and medical interventions, reducing the likelihood of complications such as cardiovascular disease, kidney damage, and neuropathy.</w:t>
      </w:r>
    </w:p>
    <w:p w14:paraId="7C3090D9" w14:textId="3D5868E6" w:rsidR="0072137A" w:rsidRDefault="009E1205" w:rsidP="0072137A">
      <w:pPr>
        <w:pStyle w:val="0"/>
      </w:pPr>
      <w:r w:rsidRPr="009E1205">
        <w:rPr>
          <w:noProof/>
        </w:rPr>
        <w:drawing>
          <wp:anchor distT="0" distB="0" distL="114300" distR="114300" simplePos="0" relativeHeight="251666432" behindDoc="0" locked="0" layoutInCell="1" allowOverlap="1" wp14:anchorId="11804F06" wp14:editId="44BCD330">
            <wp:simplePos x="0" y="0"/>
            <wp:positionH relativeFrom="column">
              <wp:posOffset>1857</wp:posOffset>
            </wp:positionH>
            <wp:positionV relativeFrom="paragraph">
              <wp:posOffset>1188125</wp:posOffset>
            </wp:positionV>
            <wp:extent cx="6080400" cy="1706400"/>
            <wp:effectExtent l="0" t="0" r="3175" b="0"/>
            <wp:wrapNone/>
            <wp:docPr id="16596808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680871" name="图片 1"/>
                    <pic:cNvPicPr/>
                  </pic:nvPicPr>
                  <pic:blipFill>
                    <a:blip r:embed="rId16">
                      <a:extLst>
                        <a:ext uri="{28A0092B-C50C-407E-A947-70E740481C1C}">
                          <a14:useLocalDpi xmlns:a14="http://schemas.microsoft.com/office/drawing/2010/main" val="0"/>
                        </a:ext>
                      </a:extLst>
                    </a:blip>
                    <a:srcRect t="28930" b="28930"/>
                    <a:stretch>
                      <a:fillRect/>
                    </a:stretch>
                  </pic:blipFill>
                  <pic:spPr bwMode="auto">
                    <a:xfrm>
                      <a:off x="0" y="0"/>
                      <a:ext cx="6080400" cy="1706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2137A">
        <w:t>在健康管理中，血糖检测具有极高的预防和干预价值。它不仅能帮助早期发现糖尿病和糖尿病前期，还可揭示代谢异常与慢性炎症风险。定期检测血糖对于高危人群（如肥胖、久坐不动、饮食不规律、家族中有糖尿病史的人群）尤为重要。通过监测血糖水平，可以指导个体进行饮食调节、运动管理和必要的药物干预，从而降低心血管疾病、肾脏疾病、神经病变等并发症的发生率。</w:t>
      </w:r>
    </w:p>
    <w:p w14:paraId="4F5BD828" w14:textId="17B607DD" w:rsidR="009E1205" w:rsidRPr="004619DA" w:rsidRDefault="009E1205" w:rsidP="009E1205">
      <w:pPr>
        <w:pStyle w:val="00"/>
        <w:rPr>
          <w:rFonts w:ascii="Times New Roman" w:eastAsia="宋体" w:hAnsi="Times New Roman"/>
          <w:color w:val="323E4F" w:themeColor="text2" w:themeShade="BF"/>
          <w:sz w:val="24"/>
        </w:rPr>
      </w:pPr>
    </w:p>
    <w:p w14:paraId="6E31D21C" w14:textId="42413DA4" w:rsidR="0072137A" w:rsidRPr="002469DC" w:rsidRDefault="0072137A" w:rsidP="0072137A">
      <w:pPr>
        <w:pStyle w:val="0"/>
      </w:pPr>
    </w:p>
    <w:p w14:paraId="085670FD" w14:textId="77777777" w:rsidR="0072137A" w:rsidRDefault="0072137A" w:rsidP="0072137A">
      <w:pPr>
        <w:widowControl/>
        <w:jc w:val="left"/>
      </w:pPr>
      <w:r>
        <w:br w:type="page"/>
      </w:r>
    </w:p>
    <w:p w14:paraId="77395447" w14:textId="77777777" w:rsidR="0072137A" w:rsidRDefault="0072137A" w:rsidP="0072137A"/>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72137A" w14:paraId="5D480FD2" w14:textId="77777777" w:rsidTr="005971A0">
        <w:trPr>
          <w:trHeight w:val="839"/>
          <w:jc w:val="center"/>
        </w:trPr>
        <w:tc>
          <w:tcPr>
            <w:tcW w:w="1150" w:type="dxa"/>
            <w:tcBorders>
              <w:top w:val="single" w:sz="4" w:space="0" w:color="auto"/>
              <w:bottom w:val="single" w:sz="4" w:space="0" w:color="auto"/>
            </w:tcBorders>
            <w:vAlign w:val="center"/>
          </w:tcPr>
          <w:p w14:paraId="6D6314BC"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0D1F748C"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0AC6E944"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0BEF9758"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018DC2F2"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367C6554"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72137A" w14:paraId="28F9F434" w14:textId="77777777" w:rsidTr="005971A0">
        <w:trPr>
          <w:trHeight w:val="1111"/>
          <w:jc w:val="center"/>
        </w:trPr>
        <w:tc>
          <w:tcPr>
            <w:tcW w:w="9653" w:type="dxa"/>
            <w:gridSpan w:val="11"/>
            <w:tcBorders>
              <w:top w:val="single" w:sz="4" w:space="0" w:color="auto"/>
              <w:bottom w:val="single" w:sz="4" w:space="0" w:color="auto"/>
            </w:tcBorders>
            <w:vAlign w:val="center"/>
          </w:tcPr>
          <w:p w14:paraId="3093DB75" w14:textId="77777777" w:rsidR="0072137A" w:rsidRDefault="0072137A" w:rsidP="005971A0">
            <w:pPr>
              <w:spacing w:line="400" w:lineRule="exact"/>
              <w:jc w:val="center"/>
              <w:rPr>
                <w:b/>
                <w:bCs/>
                <w:color w:val="323E4F" w:themeColor="text2" w:themeShade="BF"/>
                <w:sz w:val="32"/>
                <w:szCs w:val="32"/>
              </w:rPr>
            </w:pPr>
            <w:r>
              <w:rPr>
                <w:rFonts w:hint="eastAsia"/>
                <w:b/>
                <w:bCs/>
                <w:color w:val="323E4F" w:themeColor="text2" w:themeShade="BF"/>
                <w:sz w:val="32"/>
                <w:szCs w:val="32"/>
              </w:rPr>
              <w:t>Blood Sugar</w:t>
            </w:r>
          </w:p>
          <w:p w14:paraId="3356EE1F" w14:textId="77777777" w:rsidR="0072137A" w:rsidRDefault="0072137A" w:rsidP="005971A0">
            <w:pPr>
              <w:spacing w:line="400" w:lineRule="exact"/>
              <w:jc w:val="center"/>
              <w:rPr>
                <w:color w:val="323E4F" w:themeColor="text2" w:themeShade="BF"/>
                <w:sz w:val="32"/>
                <w:szCs w:val="32"/>
              </w:rPr>
            </w:pPr>
            <w:r>
              <w:rPr>
                <w:rFonts w:hint="eastAsia"/>
                <w:b/>
                <w:bCs/>
                <w:color w:val="323E4F" w:themeColor="text2" w:themeShade="BF"/>
                <w:sz w:val="32"/>
                <w:szCs w:val="32"/>
              </w:rPr>
              <w:t>血糖</w:t>
            </w:r>
          </w:p>
        </w:tc>
      </w:tr>
      <w:tr w:rsidR="0072137A" w14:paraId="79A17D38" w14:textId="77777777" w:rsidTr="005971A0">
        <w:trPr>
          <w:trHeight w:hRule="exact" w:val="113"/>
          <w:jc w:val="center"/>
        </w:trPr>
        <w:tc>
          <w:tcPr>
            <w:tcW w:w="1560" w:type="dxa"/>
            <w:gridSpan w:val="2"/>
            <w:tcBorders>
              <w:top w:val="single" w:sz="4" w:space="0" w:color="auto"/>
            </w:tcBorders>
            <w:vAlign w:val="center"/>
          </w:tcPr>
          <w:p w14:paraId="181A39AC" w14:textId="77777777" w:rsidR="0072137A" w:rsidRDefault="0072137A"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123399A" w14:textId="77777777" w:rsidR="0072137A" w:rsidRDefault="0072137A"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F6592AC" w14:textId="77777777" w:rsidR="0072137A" w:rsidRDefault="0072137A"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6B8C67E" w14:textId="77777777" w:rsidR="0072137A" w:rsidRDefault="0072137A"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9A3D346" w14:textId="77777777" w:rsidR="0072137A" w:rsidRDefault="0072137A"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0CECF5E1" w14:textId="77777777" w:rsidR="0072137A" w:rsidRDefault="0072137A" w:rsidP="005971A0">
            <w:pPr>
              <w:spacing w:line="300" w:lineRule="exact"/>
              <w:jc w:val="right"/>
              <w:rPr>
                <w:color w:val="323E4F" w:themeColor="text2" w:themeShade="BF"/>
                <w:sz w:val="2"/>
                <w:szCs w:val="2"/>
              </w:rPr>
            </w:pPr>
          </w:p>
        </w:tc>
      </w:tr>
      <w:tr w:rsidR="0072137A" w14:paraId="665F9F5E" w14:textId="77777777" w:rsidTr="005971A0">
        <w:trPr>
          <w:trHeight w:val="432"/>
          <w:jc w:val="center"/>
        </w:trPr>
        <w:tc>
          <w:tcPr>
            <w:tcW w:w="1150" w:type="dxa"/>
            <w:vAlign w:val="center"/>
          </w:tcPr>
          <w:p w14:paraId="434DCE4C"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FBS</w:t>
            </w:r>
          </w:p>
        </w:tc>
        <w:tc>
          <w:tcPr>
            <w:tcW w:w="2536" w:type="dxa"/>
            <w:gridSpan w:val="2"/>
            <w:vAlign w:val="center"/>
          </w:tcPr>
          <w:p w14:paraId="1AF00451"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空腹血糖</w:t>
            </w:r>
          </w:p>
        </w:tc>
        <w:tc>
          <w:tcPr>
            <w:tcW w:w="1754" w:type="dxa"/>
            <w:gridSpan w:val="2"/>
            <w:vAlign w:val="center"/>
          </w:tcPr>
          <w:p w14:paraId="04E24E94" w14:textId="77777777" w:rsidR="0072137A" w:rsidRDefault="0072137A" w:rsidP="005971A0">
            <w:pPr>
              <w:spacing w:line="400" w:lineRule="exact"/>
              <w:jc w:val="center"/>
              <w:rPr>
                <w:b/>
                <w:bCs/>
                <w:color w:val="000000" w:themeColor="text1"/>
                <w:sz w:val="24"/>
              </w:rPr>
            </w:pPr>
          </w:p>
        </w:tc>
        <w:tc>
          <w:tcPr>
            <w:tcW w:w="825" w:type="dxa"/>
            <w:gridSpan w:val="2"/>
            <w:vAlign w:val="center"/>
          </w:tcPr>
          <w:p w14:paraId="78ED2B40" w14:textId="77777777" w:rsidR="0072137A" w:rsidRDefault="0072137A" w:rsidP="005971A0">
            <w:pPr>
              <w:spacing w:line="400" w:lineRule="exact"/>
              <w:jc w:val="center"/>
              <w:rPr>
                <w:b/>
                <w:bCs/>
                <w:color w:val="000000" w:themeColor="text1"/>
                <w:sz w:val="24"/>
              </w:rPr>
            </w:pPr>
          </w:p>
        </w:tc>
        <w:tc>
          <w:tcPr>
            <w:tcW w:w="1980" w:type="dxa"/>
            <w:gridSpan w:val="2"/>
            <w:vAlign w:val="center"/>
          </w:tcPr>
          <w:p w14:paraId="3DA12BE3" w14:textId="77777777" w:rsidR="0072137A" w:rsidRDefault="0072137A" w:rsidP="005971A0">
            <w:pPr>
              <w:spacing w:line="400" w:lineRule="exact"/>
              <w:jc w:val="center"/>
              <w:rPr>
                <w:b/>
                <w:bCs/>
                <w:color w:val="000000" w:themeColor="text1"/>
                <w:sz w:val="24"/>
              </w:rPr>
            </w:pPr>
          </w:p>
        </w:tc>
        <w:tc>
          <w:tcPr>
            <w:tcW w:w="1408" w:type="dxa"/>
            <w:gridSpan w:val="2"/>
            <w:vAlign w:val="center"/>
          </w:tcPr>
          <w:p w14:paraId="6B1D840C" w14:textId="77777777" w:rsidR="0072137A" w:rsidRDefault="0072137A" w:rsidP="005971A0">
            <w:pPr>
              <w:spacing w:line="400" w:lineRule="exact"/>
              <w:jc w:val="center"/>
              <w:rPr>
                <w:b/>
                <w:bCs/>
                <w:color w:val="000000" w:themeColor="text1"/>
                <w:sz w:val="24"/>
              </w:rPr>
            </w:pPr>
          </w:p>
        </w:tc>
      </w:tr>
      <w:tr w:rsidR="0072137A" w14:paraId="1CA5C3CC" w14:textId="77777777" w:rsidTr="005971A0">
        <w:trPr>
          <w:trHeight w:val="1651"/>
          <w:jc w:val="center"/>
        </w:trPr>
        <w:tc>
          <w:tcPr>
            <w:tcW w:w="9653" w:type="dxa"/>
            <w:gridSpan w:val="11"/>
            <w:vAlign w:val="center"/>
          </w:tcPr>
          <w:p w14:paraId="7D71BF46" w14:textId="77777777" w:rsidR="0072137A" w:rsidRDefault="0072137A" w:rsidP="005971A0"/>
          <w:p w14:paraId="0FC3D060" w14:textId="77777777" w:rsidR="0072137A" w:rsidRDefault="0072137A" w:rsidP="005971A0">
            <w:r>
              <w:rPr>
                <w:b/>
                <w:bCs/>
              </w:rPr>
              <w:t>Clinical Significance:</w:t>
            </w:r>
            <w:r>
              <w:t xml:space="preserve"> A basic indicator for diagnosing diabetes and evaluating blood sugar control. Normal reference value: 3.9 - 6.1mmol/L.</w:t>
            </w:r>
          </w:p>
          <w:p w14:paraId="661DB496" w14:textId="77777777" w:rsidR="0072137A" w:rsidRDefault="0072137A" w:rsidP="005971A0">
            <w:r>
              <w:rPr>
                <w:b/>
                <w:bCs/>
              </w:rPr>
              <w:t>临床意义：</w:t>
            </w:r>
            <w:r>
              <w:t>诊断糖尿病、评估血糖控制的基础指标，正常参考值3.9-6.1mmol/L。</w:t>
            </w:r>
          </w:p>
        </w:tc>
      </w:tr>
    </w:tbl>
    <w:p w14:paraId="1E5532C4" w14:textId="77777777" w:rsidR="0072137A" w:rsidRDefault="0072137A" w:rsidP="0072137A">
      <w:pPr>
        <w:pStyle w:val="0"/>
      </w:pPr>
    </w:p>
    <w:p w14:paraId="458951E2" w14:textId="77777777" w:rsidR="0072137A" w:rsidRDefault="0072137A" w:rsidP="0072137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72137A" w14:paraId="174002EC" w14:textId="77777777" w:rsidTr="005971A0">
        <w:trPr>
          <w:trHeight w:hRule="exact" w:val="113"/>
          <w:jc w:val="center"/>
        </w:trPr>
        <w:tc>
          <w:tcPr>
            <w:tcW w:w="1560" w:type="dxa"/>
            <w:gridSpan w:val="2"/>
            <w:tcBorders>
              <w:top w:val="single" w:sz="4" w:space="0" w:color="auto"/>
            </w:tcBorders>
            <w:vAlign w:val="center"/>
          </w:tcPr>
          <w:p w14:paraId="40172C49" w14:textId="77777777" w:rsidR="0072137A" w:rsidRDefault="0072137A"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40AB68C" w14:textId="77777777" w:rsidR="0072137A" w:rsidRDefault="0072137A"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A0A0462" w14:textId="77777777" w:rsidR="0072137A" w:rsidRDefault="0072137A"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D56F02E" w14:textId="77777777" w:rsidR="0072137A" w:rsidRDefault="0072137A"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B48E09C" w14:textId="77777777" w:rsidR="0072137A" w:rsidRDefault="0072137A"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35DDC0F3" w14:textId="77777777" w:rsidR="0072137A" w:rsidRDefault="0072137A" w:rsidP="005971A0">
            <w:pPr>
              <w:spacing w:line="300" w:lineRule="exact"/>
              <w:jc w:val="right"/>
              <w:rPr>
                <w:color w:val="323E4F" w:themeColor="text2" w:themeShade="BF"/>
                <w:sz w:val="2"/>
                <w:szCs w:val="2"/>
              </w:rPr>
            </w:pPr>
          </w:p>
        </w:tc>
      </w:tr>
      <w:tr w:rsidR="0072137A" w14:paraId="2F7AF719" w14:textId="77777777" w:rsidTr="005971A0">
        <w:trPr>
          <w:trHeight w:val="432"/>
          <w:jc w:val="center"/>
        </w:trPr>
        <w:tc>
          <w:tcPr>
            <w:tcW w:w="1150" w:type="dxa"/>
            <w:vAlign w:val="center"/>
          </w:tcPr>
          <w:p w14:paraId="0DBCC6A5"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HbA1C</w:t>
            </w:r>
          </w:p>
        </w:tc>
        <w:tc>
          <w:tcPr>
            <w:tcW w:w="2536" w:type="dxa"/>
            <w:gridSpan w:val="2"/>
            <w:vAlign w:val="center"/>
          </w:tcPr>
          <w:p w14:paraId="1E1D502E"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糖化血红蛋白</w:t>
            </w:r>
          </w:p>
        </w:tc>
        <w:tc>
          <w:tcPr>
            <w:tcW w:w="1754" w:type="dxa"/>
            <w:gridSpan w:val="2"/>
            <w:vAlign w:val="center"/>
          </w:tcPr>
          <w:p>
            <w:r>
              <w:t>{{HBA1C_result}}</w:t>
            </w:r>
          </w:p>
        </w:tc>
        <w:tc>
          <w:tcPr>
            <w:tcW w:w="825" w:type="dxa"/>
            <w:gridSpan w:val="2"/>
            <w:vAlign w:val="center"/>
          </w:tcPr>
          <w:p>
            <w:r>
              <w:t>{{HBA1C_point}}</w:t>
            </w:r>
          </w:p>
        </w:tc>
        <w:tc>
          <w:tcPr>
            <w:tcW w:w="1980" w:type="dxa"/>
            <w:gridSpan w:val="2"/>
            <w:vAlign w:val="center"/>
          </w:tcPr>
          <w:p>
            <w:r>
              <w:t>{{HBA1C_refer}}</w:t>
            </w:r>
          </w:p>
        </w:tc>
        <w:tc>
          <w:tcPr>
            <w:tcW w:w="1408" w:type="dxa"/>
            <w:gridSpan w:val="2"/>
            <w:vAlign w:val="center"/>
          </w:tcPr>
          <w:p>
            <w:r>
              <w:t>{{HBA1C_unit}}</w:t>
            </w:r>
          </w:p>
        </w:tc>
      </w:tr>
      <w:tr w:rsidR="0072137A" w14:paraId="1ECAB09D" w14:textId="77777777" w:rsidTr="005971A0">
        <w:trPr>
          <w:trHeight w:val="1651"/>
          <w:jc w:val="center"/>
        </w:trPr>
        <w:tc>
          <w:tcPr>
            <w:tcW w:w="9653" w:type="dxa"/>
            <w:gridSpan w:val="11"/>
            <w:vAlign w:val="center"/>
          </w:tcPr>
          <w:p w14:paraId="1B664E87" w14:textId="77777777" w:rsidR="0072137A" w:rsidRDefault="0072137A" w:rsidP="005971A0"/>
          <w:p w14:paraId="3EDF5FB8" w14:textId="77777777" w:rsidR="0072137A" w:rsidRDefault="0072137A" w:rsidP="005971A0">
            <w:r>
              <w:rPr>
                <w:b/>
                <w:bCs/>
              </w:rPr>
              <w:t>Clinical Significance:</w:t>
            </w:r>
            <w:r>
              <w:t xml:space="preserve"> Reflects the average blood sugar level in the past 2 - 3 months, evaluating the control effect of diabetes. Normal reference value: 4% - 6%.</w:t>
            </w:r>
          </w:p>
          <w:p w14:paraId="1A67E50C" w14:textId="77777777" w:rsidR="0072137A" w:rsidRDefault="0072137A" w:rsidP="005971A0">
            <w:r>
              <w:rPr>
                <w:b/>
                <w:bCs/>
              </w:rPr>
              <w:t>临床意义：</w:t>
            </w:r>
            <w:r>
              <w:t>反映过去2-3个月平均血糖水平，评估糖尿病控制效果，正常参考值4%-6%。</w:t>
            </w:r>
          </w:p>
        </w:tc>
      </w:tr>
    </w:tbl>
    <w:p w14:paraId="60E633CD" w14:textId="77777777" w:rsidR="0072137A" w:rsidRDefault="0072137A" w:rsidP="0072137A">
      <w:pPr>
        <w:pStyle w:val="0"/>
      </w:pPr>
    </w:p>
    <w:p w14:paraId="7A5E2539" w14:textId="77777777" w:rsidR="0072137A" w:rsidRDefault="0072137A" w:rsidP="0072137A">
      <w:pPr>
        <w:pStyle w:val="0"/>
      </w:pPr>
    </w:p>
    <w:p w14:paraId="08C6EF2D" w14:textId="77777777" w:rsidR="0072137A" w:rsidRDefault="0072137A" w:rsidP="0072137A">
      <w:pPr>
        <w:pStyle w:val="0"/>
        <w:sectPr w:rsidR="0072137A" w:rsidSect="0072137A">
          <w:pgSz w:w="11901" w:h="16817"/>
          <w:pgMar w:top="1418" w:right="1134" w:bottom="1021" w:left="1191" w:header="851" w:footer="992" w:gutter="0"/>
          <w:cols w:space="425"/>
          <w:docGrid w:linePitch="312"/>
        </w:sectPr>
      </w:pPr>
    </w:p>
    <w:p w14:paraId="12105CD7" w14:textId="77777777" w:rsidR="0072137A" w:rsidRDefault="0072137A" w:rsidP="0072137A">
      <w:pPr>
        <w:pStyle w:val="3-"/>
      </w:pPr>
      <w:r w:rsidRPr="00E326AE">
        <w:lastRenderedPageBreak/>
        <w:t>Lipid Profile</w:t>
      </w:r>
      <w:r>
        <w:br/>
      </w:r>
      <w:r>
        <w:rPr>
          <w:rFonts w:hint="eastAsia"/>
        </w:rPr>
        <w:t>血脂</w:t>
      </w:r>
    </w:p>
    <w:p w14:paraId="18C64DB2" w14:textId="77777777" w:rsidR="0072137A" w:rsidRDefault="0072137A" w:rsidP="0072137A">
      <w:pPr>
        <w:pStyle w:val="0"/>
      </w:pPr>
    </w:p>
    <w:p w14:paraId="0A9F51E0" w14:textId="77777777" w:rsidR="0072137A" w:rsidRPr="00E326AE" w:rsidRDefault="0072137A" w:rsidP="0072137A">
      <w:pPr>
        <w:pStyle w:val="00"/>
      </w:pPr>
      <w:r w:rsidRPr="00E326AE">
        <w:t>Lipid profile testing is a core laboratory assessment for evaluating cardiovascular health and metabolic status. It typically includes total cholesterol (TC), triglycerides (TG), high-density lipoprotein (HDL), low-density lipoprotein (LDL), and lipoprotein (a), or Lp(a). These lipid components are essential for maintaining cell membrane stability, hormone synthesis, and energy metabolism, but abnormal levels are strongly linked to atherosclerosis, coronary artery disease, and stroke.</w:t>
      </w:r>
    </w:p>
    <w:p w14:paraId="1D14B84C" w14:textId="55AA2D87" w:rsidR="0072137A" w:rsidRPr="00E326AE" w:rsidRDefault="0072137A" w:rsidP="0072137A">
      <w:pPr>
        <w:pStyle w:val="0"/>
      </w:pPr>
      <w:r w:rsidRPr="00E326AE">
        <w:t>血脂检测是评估心血管健康与代谢状态的核心实验室检查，主要包括总胆固醇（</w:t>
      </w:r>
      <w:r w:rsidRPr="00E326AE">
        <w:t>TC</w:t>
      </w:r>
      <w:r w:rsidRPr="00E326AE">
        <w:t>）、甘油三酯（</w:t>
      </w:r>
      <w:r w:rsidRPr="00E326AE">
        <w:t>TG</w:t>
      </w:r>
      <w:r w:rsidRPr="00E326AE">
        <w:t>）、高密度脂蛋白（</w:t>
      </w:r>
      <w:r w:rsidRPr="00E326AE">
        <w:t>HDL</w:t>
      </w:r>
      <w:r w:rsidRPr="00E326AE">
        <w:t>）、低密度脂蛋白（</w:t>
      </w:r>
      <w:r w:rsidRPr="00E326AE">
        <w:t>LDL</w:t>
      </w:r>
      <w:r w:rsidRPr="00E326AE">
        <w:t>）、脂蛋白（</w:t>
      </w:r>
      <w:r w:rsidRPr="00E326AE">
        <w:t>a</w:t>
      </w:r>
      <w:r w:rsidRPr="00E326AE">
        <w:t>）</w:t>
      </w:r>
      <w:r w:rsidRPr="00E326AE">
        <w:t xml:space="preserve">Lp(a) </w:t>
      </w:r>
      <w:r w:rsidRPr="00E326AE">
        <w:t>等指标。这些脂质成分在维持细胞膜稳定性、激素合成及能量代谢中起重要作用，但一旦水平异常，便与动脉粥样硬化、冠心病、脑卒中等心脑血管疾病密切相关。</w:t>
      </w:r>
    </w:p>
    <w:p w14:paraId="3EEEFEBF" w14:textId="77777777" w:rsidR="0072137A" w:rsidRPr="00E326AE" w:rsidRDefault="0072137A" w:rsidP="0072137A">
      <w:pPr>
        <w:pStyle w:val="00"/>
        <w:rPr>
          <w:color w:val="222A35" w:themeColor="text2" w:themeShade="80"/>
        </w:rPr>
      </w:pPr>
      <w:r w:rsidRPr="00E326AE">
        <w:t>Clinically, total cholesterol and triglycerides reflect overall lipid levels and serve as important markers of cardiovascular risk. Low-density lipoprotein (LDL), often referred to as “bad cholesterol,” is the primary risk factor for atherosclerosis and coronary heart disease. In contrast, high-density lipoprotein (HDL), known as “good cholesterol,” helps remove cholesterol from arterial walls, with higher levels providing protective cardiovascular benefits. Lipoprotein (a) is considered an independent risk factor for cardiovascular disease, as elevated levels increase the likelihood of atherosclerosis and thrombosis, even when other lipid parameters are normal.</w:t>
      </w:r>
    </w:p>
    <w:p w14:paraId="71AFB5A2" w14:textId="77777777" w:rsidR="0072137A" w:rsidRPr="00E326AE" w:rsidRDefault="0072137A" w:rsidP="0072137A">
      <w:pPr>
        <w:pStyle w:val="0"/>
      </w:pPr>
      <w:r w:rsidRPr="00E326AE">
        <w:t>在临床意义上，总胆固醇和甘油三酯可反映血脂的整体水平，是心血管风险的重要信号；低密度脂蛋白（</w:t>
      </w:r>
      <w:r w:rsidRPr="00E326AE">
        <w:t>LDL</w:t>
      </w:r>
      <w:r w:rsidRPr="00E326AE">
        <w:t>）被称为</w:t>
      </w:r>
      <w:r w:rsidRPr="00E326AE">
        <w:t>“</w:t>
      </w:r>
      <w:r w:rsidRPr="00E326AE">
        <w:t>坏胆固醇</w:t>
      </w:r>
      <w:r w:rsidRPr="00E326AE">
        <w:t>”</w:t>
      </w:r>
      <w:r w:rsidRPr="00E326AE">
        <w:t>，其升高是动脉粥样硬化和冠心病的主要危险因素；高密度脂蛋白（</w:t>
      </w:r>
      <w:r w:rsidRPr="00E326AE">
        <w:t>HDL</w:t>
      </w:r>
      <w:r w:rsidRPr="00E326AE">
        <w:t>）被称为</w:t>
      </w:r>
      <w:r w:rsidRPr="00E326AE">
        <w:t>“</w:t>
      </w:r>
      <w:r w:rsidRPr="00E326AE">
        <w:t>好胆固醇</w:t>
      </w:r>
      <w:r w:rsidRPr="00E326AE">
        <w:t>”</w:t>
      </w:r>
      <w:r w:rsidRPr="00E326AE">
        <w:t>，具有清除血管壁胆固醇的作用，其水平越高，心血管保护作用越强；脂蛋白</w:t>
      </w:r>
      <w:r w:rsidRPr="00E326AE">
        <w:t xml:space="preserve">(a) </w:t>
      </w:r>
      <w:r w:rsidRPr="00E326AE">
        <w:t>是一种独立的心血管风险因子，即使在其他血脂正常的情况下，其升高也会增加动脉硬化与血栓风险。</w:t>
      </w:r>
    </w:p>
    <w:p w14:paraId="7CD7F64B" w14:textId="77777777" w:rsidR="0072137A" w:rsidRPr="00E326AE" w:rsidRDefault="0072137A" w:rsidP="0072137A">
      <w:pPr>
        <w:pStyle w:val="00"/>
        <w:rPr>
          <w:color w:val="222A35" w:themeColor="text2" w:themeShade="80"/>
        </w:rPr>
      </w:pPr>
      <w:r w:rsidRPr="00E326AE">
        <w:t>In preventive healthcare, lipid profile testing is essential for assessing cardiovascular risk and screening for metabolic syndrome. Regular monitoring allows for early detection of lipid abnormalities, guiding personalized interventions in diet, exercise, and medication to prevent major events such as myocardial infarction or stroke. For individuals with a family history of heart disease, high stress, poor diet, or sedentary lifestyle, lipid monitoring is especially important.</w:t>
      </w:r>
    </w:p>
    <w:p w14:paraId="04109169" w14:textId="77777777" w:rsidR="0072137A" w:rsidRDefault="0072137A" w:rsidP="0072137A">
      <w:pPr>
        <w:pStyle w:val="0"/>
      </w:pPr>
      <w:r w:rsidRPr="00E326AE">
        <w:t>在健康管理中，血脂检测是心血管疾病风险评估和代谢综合征筛查的关键环节。通过定期检测，可以及早发现血脂异常，指导个性化饮食、运动及药物干预，预防心梗、脑梗等重大事件的发生。对于有家族遗传倾向、长期压力大、饮食不均衡或缺乏运动的人群，血脂监测尤为重要。</w:t>
      </w:r>
    </w:p>
    <w:p w14:paraId="16DBDB28" w14:textId="6AFD1497" w:rsidR="009E1205" w:rsidRDefault="009E1205" w:rsidP="0072137A">
      <w:pPr>
        <w:pStyle w:val="0"/>
      </w:pPr>
      <w:r w:rsidRPr="009E1205">
        <w:rPr>
          <w:noProof/>
        </w:rPr>
        <w:drawing>
          <wp:anchor distT="0" distB="0" distL="114300" distR="114300" simplePos="0" relativeHeight="251668480" behindDoc="0" locked="0" layoutInCell="1" allowOverlap="1" wp14:anchorId="0A0BE30A" wp14:editId="58FE3D64">
            <wp:simplePos x="0" y="0"/>
            <wp:positionH relativeFrom="column">
              <wp:posOffset>1857</wp:posOffset>
            </wp:positionH>
            <wp:positionV relativeFrom="paragraph">
              <wp:posOffset>691</wp:posOffset>
            </wp:positionV>
            <wp:extent cx="6080400" cy="1706400"/>
            <wp:effectExtent l="0" t="0" r="3175" b="0"/>
            <wp:wrapNone/>
            <wp:docPr id="7402670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267018" name="图片 1"/>
                    <pic:cNvPicPr/>
                  </pic:nvPicPr>
                  <pic:blipFill>
                    <a:blip r:embed="rId17">
                      <a:extLst>
                        <a:ext uri="{28A0092B-C50C-407E-A947-70E740481C1C}">
                          <a14:useLocalDpi xmlns:a14="http://schemas.microsoft.com/office/drawing/2010/main" val="0"/>
                        </a:ext>
                      </a:extLst>
                    </a:blip>
                    <a:srcRect t="28930" b="28930"/>
                    <a:stretch>
                      <a:fillRect/>
                    </a:stretch>
                  </pic:blipFill>
                  <pic:spPr bwMode="auto">
                    <a:xfrm>
                      <a:off x="0" y="0"/>
                      <a:ext cx="6080400" cy="1706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AA72DDB" w14:textId="77777777" w:rsidR="0072137A" w:rsidRDefault="0072137A" w:rsidP="0072137A">
      <w:pPr>
        <w:widowControl/>
        <w:jc w:val="left"/>
      </w:pPr>
      <w:r>
        <w:br w:type="page"/>
      </w:r>
    </w:p>
    <w:p w14:paraId="4A96F3B0" w14:textId="77777777" w:rsidR="0072137A" w:rsidRDefault="0072137A" w:rsidP="0072137A"/>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72137A" w14:paraId="390761EC" w14:textId="77777777" w:rsidTr="005971A0">
        <w:trPr>
          <w:trHeight w:val="839"/>
          <w:jc w:val="center"/>
        </w:trPr>
        <w:tc>
          <w:tcPr>
            <w:tcW w:w="1150" w:type="dxa"/>
            <w:tcBorders>
              <w:top w:val="single" w:sz="4" w:space="0" w:color="auto"/>
              <w:bottom w:val="single" w:sz="4" w:space="0" w:color="auto"/>
            </w:tcBorders>
            <w:vAlign w:val="center"/>
          </w:tcPr>
          <w:p w14:paraId="1C0F8B92"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1B6A1158"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4F282460"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520854AF"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24A5A74D"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020FF3C4"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72137A" w14:paraId="3208DA9A" w14:textId="77777777" w:rsidTr="005971A0">
        <w:trPr>
          <w:trHeight w:val="1111"/>
          <w:jc w:val="center"/>
        </w:trPr>
        <w:tc>
          <w:tcPr>
            <w:tcW w:w="9653" w:type="dxa"/>
            <w:gridSpan w:val="11"/>
            <w:tcBorders>
              <w:top w:val="single" w:sz="4" w:space="0" w:color="auto"/>
              <w:bottom w:val="single" w:sz="4" w:space="0" w:color="auto"/>
            </w:tcBorders>
            <w:vAlign w:val="center"/>
          </w:tcPr>
          <w:p w14:paraId="6B446BA8" w14:textId="77777777" w:rsidR="0072137A" w:rsidRDefault="0072137A" w:rsidP="005971A0">
            <w:pPr>
              <w:spacing w:line="400" w:lineRule="exact"/>
              <w:jc w:val="center"/>
              <w:rPr>
                <w:b/>
                <w:bCs/>
                <w:color w:val="323E4F" w:themeColor="text2" w:themeShade="BF"/>
                <w:sz w:val="32"/>
                <w:szCs w:val="32"/>
              </w:rPr>
            </w:pPr>
            <w:r>
              <w:rPr>
                <w:rFonts w:hint="eastAsia"/>
                <w:b/>
                <w:bCs/>
                <w:color w:val="323E4F" w:themeColor="text2" w:themeShade="BF"/>
                <w:sz w:val="32"/>
                <w:szCs w:val="32"/>
              </w:rPr>
              <w:t>Lipid Profile</w:t>
            </w:r>
          </w:p>
          <w:p w14:paraId="3AE30378" w14:textId="77777777" w:rsidR="0072137A" w:rsidRDefault="0072137A" w:rsidP="005971A0">
            <w:pPr>
              <w:spacing w:line="400" w:lineRule="exact"/>
              <w:jc w:val="center"/>
              <w:rPr>
                <w:color w:val="323E4F" w:themeColor="text2" w:themeShade="BF"/>
                <w:sz w:val="32"/>
                <w:szCs w:val="32"/>
              </w:rPr>
            </w:pPr>
            <w:r>
              <w:rPr>
                <w:rFonts w:hint="eastAsia"/>
                <w:b/>
                <w:bCs/>
                <w:color w:val="323E4F" w:themeColor="text2" w:themeShade="BF"/>
                <w:sz w:val="32"/>
                <w:szCs w:val="32"/>
              </w:rPr>
              <w:t>血脂</w:t>
            </w:r>
          </w:p>
        </w:tc>
      </w:tr>
      <w:tr w:rsidR="0072137A" w14:paraId="6B8F0FCF" w14:textId="77777777" w:rsidTr="005971A0">
        <w:trPr>
          <w:trHeight w:hRule="exact" w:val="113"/>
          <w:jc w:val="center"/>
        </w:trPr>
        <w:tc>
          <w:tcPr>
            <w:tcW w:w="1560" w:type="dxa"/>
            <w:gridSpan w:val="2"/>
            <w:tcBorders>
              <w:top w:val="single" w:sz="4" w:space="0" w:color="auto"/>
            </w:tcBorders>
            <w:vAlign w:val="center"/>
          </w:tcPr>
          <w:p w14:paraId="18B70EC7" w14:textId="77777777" w:rsidR="0072137A" w:rsidRDefault="0072137A"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1BEB10C" w14:textId="77777777" w:rsidR="0072137A" w:rsidRDefault="0072137A"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B9B0182" w14:textId="77777777" w:rsidR="0072137A" w:rsidRDefault="0072137A"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495C480" w14:textId="77777777" w:rsidR="0072137A" w:rsidRDefault="0072137A"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0A02808" w14:textId="77777777" w:rsidR="0072137A" w:rsidRDefault="0072137A"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2B2CAA54" w14:textId="77777777" w:rsidR="0072137A" w:rsidRDefault="0072137A" w:rsidP="005971A0">
            <w:pPr>
              <w:spacing w:line="300" w:lineRule="exact"/>
              <w:jc w:val="right"/>
              <w:rPr>
                <w:color w:val="323E4F" w:themeColor="text2" w:themeShade="BF"/>
                <w:sz w:val="2"/>
                <w:szCs w:val="2"/>
              </w:rPr>
            </w:pPr>
          </w:p>
        </w:tc>
      </w:tr>
      <w:tr w:rsidR="0072137A" w14:paraId="3AE5413A" w14:textId="77777777" w:rsidTr="005971A0">
        <w:trPr>
          <w:trHeight w:val="432"/>
          <w:jc w:val="center"/>
        </w:trPr>
        <w:tc>
          <w:tcPr>
            <w:tcW w:w="1150" w:type="dxa"/>
            <w:vAlign w:val="center"/>
          </w:tcPr>
          <w:p w14:paraId="6A5E7A59"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TC</w:t>
            </w:r>
          </w:p>
        </w:tc>
        <w:tc>
          <w:tcPr>
            <w:tcW w:w="2536" w:type="dxa"/>
            <w:gridSpan w:val="2"/>
            <w:vAlign w:val="center"/>
          </w:tcPr>
          <w:p w14:paraId="458895CD"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总胆固醇</w:t>
            </w:r>
          </w:p>
        </w:tc>
        <w:tc>
          <w:tcPr>
            <w:tcW w:w="1754" w:type="dxa"/>
            <w:gridSpan w:val="2"/>
            <w:vAlign w:val="center"/>
          </w:tcPr>
          <w:p>
            <w:r>
              <w:t>{{TC_result}}</w:t>
            </w:r>
          </w:p>
        </w:tc>
        <w:tc>
          <w:tcPr>
            <w:tcW w:w="825" w:type="dxa"/>
            <w:gridSpan w:val="2"/>
            <w:vAlign w:val="center"/>
          </w:tcPr>
          <w:p>
            <w:r>
              <w:t>{{TC_point}}</w:t>
            </w:r>
          </w:p>
        </w:tc>
        <w:tc>
          <w:tcPr>
            <w:tcW w:w="1980" w:type="dxa"/>
            <w:gridSpan w:val="2"/>
            <w:vAlign w:val="center"/>
          </w:tcPr>
          <w:p>
            <w:r>
              <w:t>{{TC_refer}}</w:t>
            </w:r>
          </w:p>
        </w:tc>
        <w:tc>
          <w:tcPr>
            <w:tcW w:w="1408" w:type="dxa"/>
            <w:gridSpan w:val="2"/>
            <w:vAlign w:val="center"/>
          </w:tcPr>
          <w:p>
            <w:r>
              <w:t>{{TC_unit}}</w:t>
            </w:r>
          </w:p>
        </w:tc>
      </w:tr>
      <w:tr w:rsidR="0072137A" w14:paraId="66E748B7" w14:textId="77777777" w:rsidTr="005971A0">
        <w:trPr>
          <w:trHeight w:val="1651"/>
          <w:jc w:val="center"/>
        </w:trPr>
        <w:tc>
          <w:tcPr>
            <w:tcW w:w="9653" w:type="dxa"/>
            <w:gridSpan w:val="11"/>
            <w:vAlign w:val="center"/>
          </w:tcPr>
          <w:p w14:paraId="08042704" w14:textId="77777777" w:rsidR="0072137A" w:rsidRDefault="0072137A" w:rsidP="005971A0"/>
          <w:p w14:paraId="225968DF" w14:textId="77777777" w:rsidR="0072137A" w:rsidRDefault="0072137A" w:rsidP="005971A0">
            <w:r>
              <w:rPr>
                <w:b/>
                <w:bCs/>
              </w:rPr>
              <w:t>Clinical Significance:</w:t>
            </w:r>
            <w:r>
              <w:t xml:space="preserve"> Reflects the overall level of cholesterol in the blood, evaluates the risk of atherosclerosis and cardiovascular diseases. Normal reference value: &lt; 5.2mmol/L (appropriate level), 5.2 - 6.2mmol/L is borderline elevation, &gt; 6.2mmol/L is elevation.</w:t>
            </w:r>
          </w:p>
          <w:p w14:paraId="5B18F120" w14:textId="77777777" w:rsidR="0072137A" w:rsidRDefault="0072137A" w:rsidP="005971A0">
            <w:r>
              <w:rPr>
                <w:b/>
                <w:bCs/>
              </w:rPr>
              <w:t>临床意义：</w:t>
            </w:r>
            <w:r>
              <w:t>反映血液中胆固醇总体水平，评估动脉粥样硬化、心血管疾病风险，正常参考值＜5.2mmol/L（合适水平），5.2-6.2mmol/L为边缘升高，＞6.2mmol/L为升高。</w:t>
            </w:r>
          </w:p>
        </w:tc>
      </w:tr>
      <w:tr w:rsidR="0072137A" w14:paraId="3AE5413A" w14:textId="77777777" w:rsidTr="005971A0">
        <w:trPr>
          <w:trHeight w:val="432"/>
          <w:jc w:val="center"/>
        </w:trPr>
        <w:tc>
          <w:tcPr>
            <w:tcW w:w="1150" w:type="dxa"/>
            <w:vAlign w:val="center"/>
          </w:tcPr>
          <w:p>
            <w:r>
              <w:t>VLDL</w:t>
            </w:r>
          </w:p>
        </w:tc>
        <w:tc>
          <w:tcPr>
            <w:tcW w:w="2536" w:type="dxa"/>
            <w:gridSpan w:val="2"/>
            <w:vAlign w:val="center"/>
          </w:tcPr>
          <w:p>
            <w:r>
              <w:t>VLDL</w:t>
            </w:r>
          </w:p>
        </w:tc>
        <w:tc>
          <w:tcPr>
            <w:tcW w:w="1754" w:type="dxa"/>
            <w:gridSpan w:val="2"/>
            <w:vAlign w:val="center"/>
          </w:tcPr>
          <w:p>
            <w:r/>
          </w:p>
        </w:tc>
        <w:tc>
          <w:tcPr>
            <w:tcW w:w="825" w:type="dxa"/>
            <w:gridSpan w:val="2"/>
            <w:vAlign w:val="center"/>
          </w:tcPr>
          <w:p>
            <w:r/>
          </w:p>
        </w:tc>
        <w:tc>
          <w:tcPr>
            <w:tcW w:w="1980" w:type="dxa"/>
            <w:gridSpan w:val="2"/>
            <w:vAlign w:val="center"/>
          </w:tcPr>
          <w:p>
            <w:r/>
          </w:p>
        </w:tc>
        <w:tc>
          <w:tcPr>
            <w:tcW w:w="1408" w:type="dxa"/>
            <w:gridSpan w:val="2"/>
            <w:vAlign w:val="center"/>
          </w:tcPr>
          <w:p>
            <w:r/>
          </w:p>
        </w:tc>
      </w:tr>
      <w:tr w:rsidR="0072137A" w14:paraId="3AE5413A" w14:textId="77777777" w:rsidTr="005971A0">
        <w:trPr>
          <w:trHeight w:val="432"/>
          <w:jc w:val="center"/>
        </w:trPr>
        <w:tc>
          <w:tcPr>
            <w:tcW w:w="1150" w:type="dxa"/>
            <w:vAlign w:val="center"/>
          </w:tcPr>
          <w:p>
            <w:r>
              <w:t>LP(A)</w:t>
            </w:r>
          </w:p>
        </w:tc>
        <w:tc>
          <w:tcPr>
            <w:tcW w:w="2536" w:type="dxa"/>
            <w:gridSpan w:val="2"/>
            <w:vAlign w:val="center"/>
          </w:tcPr>
          <w:p>
            <w:r>
              <w:t>Lipoprotein(a)</w:t>
            </w:r>
          </w:p>
        </w:tc>
        <w:tc>
          <w:tcPr>
            <w:tcW w:w="1754" w:type="dxa"/>
            <w:gridSpan w:val="2"/>
            <w:vAlign w:val="center"/>
          </w:tcPr>
          <w:p>
            <w:r/>
          </w:p>
        </w:tc>
        <w:tc>
          <w:tcPr>
            <w:tcW w:w="825" w:type="dxa"/>
            <w:gridSpan w:val="2"/>
            <w:vAlign w:val="center"/>
          </w:tcPr>
          <w:p>
            <w:r/>
          </w:p>
        </w:tc>
        <w:tc>
          <w:tcPr>
            <w:tcW w:w="1980" w:type="dxa"/>
            <w:gridSpan w:val="2"/>
            <w:vAlign w:val="center"/>
          </w:tcPr>
          <w:p>
            <w:r/>
          </w:p>
        </w:tc>
        <w:tc>
          <w:tcPr>
            <w:tcW w:w="1408" w:type="dxa"/>
            <w:gridSpan w:val="2"/>
            <w:vAlign w:val="center"/>
          </w:tcPr>
          <w:p>
            <w:r/>
          </w:p>
        </w:tc>
      </w:tr>
      <w:tr w:rsidR="0072137A" w14:paraId="3AE5413A" w14:textId="77777777" w:rsidTr="005971A0">
        <w:trPr>
          <w:trHeight w:val="432"/>
          <w:jc w:val="center"/>
        </w:trPr>
        <w:tc>
          <w:tcPr>
            <w:tcW w:w="1150" w:type="dxa"/>
            <w:vAlign w:val="center"/>
          </w:tcPr>
          <w:p>
            <w:r>
              <w:t>APOB</w:t>
            </w:r>
          </w:p>
        </w:tc>
        <w:tc>
          <w:tcPr>
            <w:tcW w:w="2536" w:type="dxa"/>
            <w:gridSpan w:val="2"/>
            <w:vAlign w:val="center"/>
          </w:tcPr>
          <w:p>
            <w:r>
              <w:t>Apolipoprotein B</w:t>
            </w:r>
          </w:p>
        </w:tc>
        <w:tc>
          <w:tcPr>
            <w:tcW w:w="1754" w:type="dxa"/>
            <w:gridSpan w:val="2"/>
            <w:vAlign w:val="center"/>
          </w:tcPr>
          <w:p>
            <w:r/>
          </w:p>
        </w:tc>
        <w:tc>
          <w:tcPr>
            <w:tcW w:w="825" w:type="dxa"/>
            <w:gridSpan w:val="2"/>
            <w:vAlign w:val="center"/>
          </w:tcPr>
          <w:p>
            <w:r/>
          </w:p>
        </w:tc>
        <w:tc>
          <w:tcPr>
            <w:tcW w:w="1980" w:type="dxa"/>
            <w:gridSpan w:val="2"/>
            <w:vAlign w:val="center"/>
          </w:tcPr>
          <w:p>
            <w:r/>
          </w:p>
        </w:tc>
        <w:tc>
          <w:tcPr>
            <w:tcW w:w="1408" w:type="dxa"/>
            <w:gridSpan w:val="2"/>
            <w:vAlign w:val="center"/>
          </w:tcPr>
          <w:p>
            <w:r/>
          </w:p>
        </w:tc>
      </w:tr>
    </w:tbl>
    <w:p w14:paraId="51DD8A7E" w14:textId="77777777" w:rsidR="0072137A" w:rsidRDefault="0072137A" w:rsidP="0072137A">
      <w:pPr>
        <w:pStyle w:val="0"/>
      </w:pPr>
    </w:p>
    <w:p w14:paraId="3B16E0D6" w14:textId="77777777" w:rsidR="0072137A" w:rsidRDefault="0072137A" w:rsidP="0072137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72137A" w14:paraId="5055D9FB" w14:textId="77777777" w:rsidTr="005971A0">
        <w:trPr>
          <w:trHeight w:hRule="exact" w:val="113"/>
          <w:jc w:val="center"/>
        </w:trPr>
        <w:tc>
          <w:tcPr>
            <w:tcW w:w="1560" w:type="dxa"/>
            <w:gridSpan w:val="2"/>
            <w:tcBorders>
              <w:top w:val="single" w:sz="4" w:space="0" w:color="auto"/>
            </w:tcBorders>
            <w:vAlign w:val="center"/>
          </w:tcPr>
          <w:p w14:paraId="77BC3C25" w14:textId="77777777" w:rsidR="0072137A" w:rsidRDefault="0072137A"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B5C3F72" w14:textId="77777777" w:rsidR="0072137A" w:rsidRDefault="0072137A"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CFAB062" w14:textId="77777777" w:rsidR="0072137A" w:rsidRDefault="0072137A"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84D93BD" w14:textId="77777777" w:rsidR="0072137A" w:rsidRDefault="0072137A"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329A855" w14:textId="77777777" w:rsidR="0072137A" w:rsidRDefault="0072137A"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702B8337" w14:textId="77777777" w:rsidR="0072137A" w:rsidRDefault="0072137A" w:rsidP="005971A0">
            <w:pPr>
              <w:spacing w:line="300" w:lineRule="exact"/>
              <w:jc w:val="right"/>
              <w:rPr>
                <w:color w:val="323E4F" w:themeColor="text2" w:themeShade="BF"/>
                <w:sz w:val="2"/>
                <w:szCs w:val="2"/>
              </w:rPr>
            </w:pPr>
          </w:p>
        </w:tc>
      </w:tr>
      <w:tr w:rsidR="0072137A" w14:paraId="6A11E142" w14:textId="77777777" w:rsidTr="005971A0">
        <w:trPr>
          <w:trHeight w:val="432"/>
          <w:jc w:val="center"/>
        </w:trPr>
        <w:tc>
          <w:tcPr>
            <w:tcW w:w="1150" w:type="dxa"/>
            <w:vAlign w:val="center"/>
          </w:tcPr>
          <w:p w14:paraId="08984C7A"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TG</w:t>
            </w:r>
          </w:p>
        </w:tc>
        <w:tc>
          <w:tcPr>
            <w:tcW w:w="2536" w:type="dxa"/>
            <w:gridSpan w:val="2"/>
            <w:vAlign w:val="center"/>
          </w:tcPr>
          <w:p w14:paraId="55BA9313"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甘油三酯</w:t>
            </w:r>
          </w:p>
        </w:tc>
        <w:tc>
          <w:tcPr>
            <w:tcW w:w="1754" w:type="dxa"/>
            <w:gridSpan w:val="2"/>
            <w:vAlign w:val="center"/>
          </w:tcPr>
          <w:p>
            <w:r>
              <w:t>{{TG_result}}</w:t>
            </w:r>
          </w:p>
        </w:tc>
        <w:tc>
          <w:tcPr>
            <w:tcW w:w="825" w:type="dxa"/>
            <w:gridSpan w:val="2"/>
            <w:vAlign w:val="center"/>
          </w:tcPr>
          <w:p>
            <w:r>
              <w:t>{{TG_point}}</w:t>
            </w:r>
          </w:p>
        </w:tc>
        <w:tc>
          <w:tcPr>
            <w:tcW w:w="1980" w:type="dxa"/>
            <w:gridSpan w:val="2"/>
            <w:vAlign w:val="center"/>
          </w:tcPr>
          <w:p>
            <w:r>
              <w:t>{{TG_refer}}</w:t>
            </w:r>
          </w:p>
        </w:tc>
        <w:tc>
          <w:tcPr>
            <w:tcW w:w="1408" w:type="dxa"/>
            <w:gridSpan w:val="2"/>
            <w:vAlign w:val="center"/>
          </w:tcPr>
          <w:p>
            <w:r>
              <w:t>{{TG_unit}}</w:t>
            </w:r>
          </w:p>
        </w:tc>
      </w:tr>
      <w:tr w:rsidR="0072137A" w14:paraId="7C9C996B" w14:textId="77777777" w:rsidTr="005971A0">
        <w:trPr>
          <w:trHeight w:val="1651"/>
          <w:jc w:val="center"/>
        </w:trPr>
        <w:tc>
          <w:tcPr>
            <w:tcW w:w="9653" w:type="dxa"/>
            <w:gridSpan w:val="11"/>
            <w:vAlign w:val="center"/>
          </w:tcPr>
          <w:p w14:paraId="4AFB8D96" w14:textId="77777777" w:rsidR="0072137A" w:rsidRDefault="0072137A" w:rsidP="005971A0"/>
          <w:p w14:paraId="2F73853E" w14:textId="77777777" w:rsidR="0072137A" w:rsidRDefault="0072137A" w:rsidP="005971A0">
            <w:r>
              <w:rPr>
                <w:b/>
                <w:bCs/>
              </w:rPr>
              <w:t>Clinical Significance:</w:t>
            </w:r>
            <w:r>
              <w:t xml:space="preserve"> Evaluates dyslipidemia and pancreatitis risk. Normal reference value: &lt; 1.7mmol/L, 1.7 - 2.3mmol/L is borderline elevation, &gt; 2.3mmol/L is elevation.</w:t>
            </w:r>
          </w:p>
          <w:p w14:paraId="7DCB5584" w14:textId="77777777" w:rsidR="0072137A" w:rsidRDefault="0072137A" w:rsidP="005971A0">
            <w:r>
              <w:rPr>
                <w:b/>
                <w:bCs/>
              </w:rPr>
              <w:t>临床意义：</w:t>
            </w:r>
            <w:r>
              <w:t>评估血脂异常、胰腺炎风险，正常参考值＜1.7mmol/L，1.7-2.3mmol/L为边缘升高，＞2.3mmol/L为升高。</w:t>
            </w:r>
          </w:p>
        </w:tc>
      </w:tr>
    </w:tbl>
    <w:p w14:paraId="1EB69070" w14:textId="77777777" w:rsidR="0072137A" w:rsidRDefault="0072137A" w:rsidP="0072137A">
      <w:pPr>
        <w:pStyle w:val="0"/>
      </w:pPr>
    </w:p>
    <w:p w14:paraId="5CCFE82F" w14:textId="77777777" w:rsidR="0072137A" w:rsidRDefault="0072137A" w:rsidP="0072137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72137A" w14:paraId="0EE38418" w14:textId="77777777" w:rsidTr="005971A0">
        <w:trPr>
          <w:trHeight w:hRule="exact" w:val="113"/>
          <w:jc w:val="center"/>
        </w:trPr>
        <w:tc>
          <w:tcPr>
            <w:tcW w:w="1560" w:type="dxa"/>
            <w:gridSpan w:val="2"/>
            <w:tcBorders>
              <w:top w:val="single" w:sz="4" w:space="0" w:color="auto"/>
            </w:tcBorders>
            <w:vAlign w:val="center"/>
          </w:tcPr>
          <w:p w14:paraId="2F0B4890" w14:textId="77777777" w:rsidR="0072137A" w:rsidRDefault="0072137A"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EEB8EF5" w14:textId="77777777" w:rsidR="0072137A" w:rsidRDefault="0072137A"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DD83442" w14:textId="77777777" w:rsidR="0072137A" w:rsidRDefault="0072137A"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A5986FE" w14:textId="77777777" w:rsidR="0072137A" w:rsidRDefault="0072137A"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79C8EE6" w14:textId="77777777" w:rsidR="0072137A" w:rsidRDefault="0072137A"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6C22D21D" w14:textId="77777777" w:rsidR="0072137A" w:rsidRDefault="0072137A" w:rsidP="005971A0">
            <w:pPr>
              <w:spacing w:line="300" w:lineRule="exact"/>
              <w:jc w:val="right"/>
              <w:rPr>
                <w:color w:val="323E4F" w:themeColor="text2" w:themeShade="BF"/>
                <w:sz w:val="2"/>
                <w:szCs w:val="2"/>
              </w:rPr>
            </w:pPr>
          </w:p>
        </w:tc>
      </w:tr>
      <w:tr w:rsidR="0072137A" w14:paraId="47BA90CB" w14:textId="77777777" w:rsidTr="005971A0">
        <w:trPr>
          <w:trHeight w:val="432"/>
          <w:jc w:val="center"/>
        </w:trPr>
        <w:tc>
          <w:tcPr>
            <w:tcW w:w="1150" w:type="dxa"/>
            <w:vAlign w:val="center"/>
          </w:tcPr>
          <w:p w14:paraId="494F533A"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Lp（a）</w:t>
            </w:r>
          </w:p>
        </w:tc>
        <w:tc>
          <w:tcPr>
            <w:tcW w:w="2536" w:type="dxa"/>
            <w:gridSpan w:val="2"/>
            <w:vAlign w:val="center"/>
          </w:tcPr>
          <w:p w14:paraId="0338AEFE"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脂蛋白（a）</w:t>
            </w:r>
          </w:p>
        </w:tc>
        <w:tc>
          <w:tcPr>
            <w:tcW w:w="1754" w:type="dxa"/>
            <w:gridSpan w:val="2"/>
            <w:vAlign w:val="center"/>
          </w:tcPr>
          <w:p>
            <w:r>
              <w:t>{{LPA_result}}</w:t>
            </w:r>
          </w:p>
        </w:tc>
        <w:tc>
          <w:tcPr>
            <w:tcW w:w="825" w:type="dxa"/>
            <w:gridSpan w:val="2"/>
            <w:vAlign w:val="center"/>
          </w:tcPr>
          <w:p>
            <w:r>
              <w:t>{{LPA_point}}</w:t>
            </w:r>
          </w:p>
        </w:tc>
        <w:tc>
          <w:tcPr>
            <w:tcW w:w="1980" w:type="dxa"/>
            <w:gridSpan w:val="2"/>
            <w:vAlign w:val="center"/>
          </w:tcPr>
          <w:p>
            <w:r>
              <w:t>{{LPA_refer}}</w:t>
            </w:r>
          </w:p>
        </w:tc>
        <w:tc>
          <w:tcPr>
            <w:tcW w:w="1408" w:type="dxa"/>
            <w:gridSpan w:val="2"/>
            <w:vAlign w:val="center"/>
          </w:tcPr>
          <w:p>
            <w:r>
              <w:t>{{LPA_unit}}</w:t>
            </w:r>
          </w:p>
        </w:tc>
      </w:tr>
      <w:tr w:rsidR="0072137A" w14:paraId="0298D454" w14:textId="77777777" w:rsidTr="005971A0">
        <w:trPr>
          <w:trHeight w:val="1651"/>
          <w:jc w:val="center"/>
        </w:trPr>
        <w:tc>
          <w:tcPr>
            <w:tcW w:w="9653" w:type="dxa"/>
            <w:gridSpan w:val="11"/>
            <w:vAlign w:val="center"/>
          </w:tcPr>
          <w:p w14:paraId="5B51A039" w14:textId="77777777" w:rsidR="0072137A" w:rsidRDefault="0072137A" w:rsidP="005971A0"/>
          <w:p w14:paraId="657C9ACC" w14:textId="77777777" w:rsidR="0072137A" w:rsidRDefault="0072137A" w:rsidP="005971A0">
            <w:r>
              <w:rPr>
                <w:b/>
                <w:bCs/>
              </w:rPr>
              <w:t>Clinical Significance:</w:t>
            </w:r>
            <w:r>
              <w:t xml:space="preserve"> An independent risk factor for cardiovascular diseases, related to atherosclerosis and thrombosis. Normal reference value: &lt; 300mg/L.</w:t>
            </w:r>
          </w:p>
          <w:p w14:paraId="784B7A1E" w14:textId="77777777" w:rsidR="0072137A" w:rsidRDefault="0072137A" w:rsidP="005971A0">
            <w:r>
              <w:rPr>
                <w:b/>
                <w:bCs/>
              </w:rPr>
              <w:t>临床意义：</w:t>
            </w:r>
            <w:r>
              <w:t>独立的心血管疾病危险因素，与动脉粥样硬化、血栓形成相关，正常参考值＜300mg/L。</w:t>
            </w:r>
          </w:p>
        </w:tc>
      </w:tr>
      <w:tr>
        <w:tc>
          <w:tcPr>
            <w:tcW w:type="dxa" w:w="1150"/>
          </w:tcPr>
          <w:p>
            <w:r>
              <w:t>HCY</w:t>
            </w:r>
          </w:p>
        </w:tc>
        <w:tc>
          <w:tcPr>
            <w:tcW w:type="dxa" w:w="410"/>
          </w:tcPr>
          <w:p>
            <w:r>
              <w:t>Homocysteine</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bl>
    <w:p w14:paraId="3C163E8F" w14:textId="77777777" w:rsidR="0072137A" w:rsidRDefault="0072137A" w:rsidP="0072137A">
      <w:pPr>
        <w:pStyle w:val="0"/>
      </w:pPr>
    </w:p>
    <w:p w14:paraId="3C6AB597" w14:textId="77777777" w:rsidR="0072137A" w:rsidRDefault="0072137A" w:rsidP="0072137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72137A" w14:paraId="684FA64E" w14:textId="77777777" w:rsidTr="005971A0">
        <w:trPr>
          <w:trHeight w:hRule="exact" w:val="113"/>
          <w:jc w:val="center"/>
        </w:trPr>
        <w:tc>
          <w:tcPr>
            <w:tcW w:w="1560" w:type="dxa"/>
            <w:gridSpan w:val="2"/>
            <w:tcBorders>
              <w:top w:val="single" w:sz="4" w:space="0" w:color="auto"/>
            </w:tcBorders>
            <w:vAlign w:val="center"/>
          </w:tcPr>
          <w:p w14:paraId="64C530D4" w14:textId="77777777" w:rsidR="0072137A" w:rsidRDefault="0072137A"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BEF2016" w14:textId="77777777" w:rsidR="0072137A" w:rsidRDefault="0072137A"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FAEDB7D" w14:textId="77777777" w:rsidR="0072137A" w:rsidRDefault="0072137A"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22708AE" w14:textId="77777777" w:rsidR="0072137A" w:rsidRDefault="0072137A"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E84AC83" w14:textId="77777777" w:rsidR="0072137A" w:rsidRDefault="0072137A"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42DB0B5C" w14:textId="77777777" w:rsidR="0072137A" w:rsidRDefault="0072137A" w:rsidP="005971A0">
            <w:pPr>
              <w:spacing w:line="300" w:lineRule="exact"/>
              <w:jc w:val="right"/>
              <w:rPr>
                <w:color w:val="323E4F" w:themeColor="text2" w:themeShade="BF"/>
                <w:sz w:val="2"/>
                <w:szCs w:val="2"/>
              </w:rPr>
            </w:pPr>
          </w:p>
        </w:tc>
      </w:tr>
      <w:tr w:rsidR="0072137A" w14:paraId="2D59A3D3" w14:textId="77777777" w:rsidTr="005971A0">
        <w:trPr>
          <w:trHeight w:val="432"/>
          <w:jc w:val="center"/>
        </w:trPr>
        <w:tc>
          <w:tcPr>
            <w:tcW w:w="1150" w:type="dxa"/>
            <w:vAlign w:val="center"/>
          </w:tcPr>
          <w:p w14:paraId="52ABEF07"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HDL</w:t>
            </w:r>
          </w:p>
        </w:tc>
        <w:tc>
          <w:tcPr>
            <w:tcW w:w="2536" w:type="dxa"/>
            <w:gridSpan w:val="2"/>
            <w:vAlign w:val="center"/>
          </w:tcPr>
          <w:p w14:paraId="28FDC094"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高密度脂蛋白</w:t>
            </w:r>
          </w:p>
        </w:tc>
        <w:tc>
          <w:tcPr>
            <w:tcW w:w="1754" w:type="dxa"/>
            <w:gridSpan w:val="2"/>
            <w:vAlign w:val="center"/>
          </w:tcPr>
          <w:p>
            <w:r>
              <w:t>{{HDL_result}}</w:t>
            </w:r>
          </w:p>
        </w:tc>
        <w:tc>
          <w:tcPr>
            <w:tcW w:w="825" w:type="dxa"/>
            <w:gridSpan w:val="2"/>
            <w:vAlign w:val="center"/>
          </w:tcPr>
          <w:p>
            <w:r>
              <w:t>{{HDL_point}}</w:t>
            </w:r>
          </w:p>
        </w:tc>
        <w:tc>
          <w:tcPr>
            <w:tcW w:w="1980" w:type="dxa"/>
            <w:gridSpan w:val="2"/>
            <w:vAlign w:val="center"/>
          </w:tcPr>
          <w:p>
            <w:r>
              <w:t>{{HDL_refer}}</w:t>
            </w:r>
          </w:p>
        </w:tc>
        <w:tc>
          <w:tcPr>
            <w:tcW w:w="1408" w:type="dxa"/>
            <w:gridSpan w:val="2"/>
            <w:vAlign w:val="center"/>
          </w:tcPr>
          <w:p>
            <w:r>
              <w:t>{{HDL_unit}}</w:t>
            </w:r>
          </w:p>
        </w:tc>
      </w:tr>
      <w:tr w:rsidR="0072137A" w14:paraId="23D78E8A" w14:textId="77777777" w:rsidTr="005971A0">
        <w:trPr>
          <w:trHeight w:val="1651"/>
          <w:jc w:val="center"/>
        </w:trPr>
        <w:tc>
          <w:tcPr>
            <w:tcW w:w="9653" w:type="dxa"/>
            <w:gridSpan w:val="11"/>
            <w:vAlign w:val="center"/>
          </w:tcPr>
          <w:p w14:paraId="62EEB183" w14:textId="77777777" w:rsidR="0072137A" w:rsidRDefault="0072137A" w:rsidP="005971A0"/>
          <w:p w14:paraId="7A1CE2F3" w14:textId="77777777" w:rsidR="0072137A" w:rsidRDefault="0072137A" w:rsidP="005971A0">
            <w:r>
              <w:rPr>
                <w:b/>
                <w:bCs/>
              </w:rPr>
              <w:t>Clinical Significance:</w:t>
            </w:r>
            <w:r>
              <w:t xml:space="preserve"> "Good cholesterol", promotes reverse cholesterol transport, reduces the risk of cardiovascular diseases. Normal reference value: &gt; 1.0mmol/L (males), &gt; 1.3mmol/L (females).</w:t>
            </w:r>
          </w:p>
          <w:p w14:paraId="413B87DA" w14:textId="77777777" w:rsidR="0072137A" w:rsidRDefault="0072137A" w:rsidP="005971A0">
            <w:r>
              <w:rPr>
                <w:b/>
                <w:bCs/>
              </w:rPr>
              <w:t>临床意义：</w:t>
            </w:r>
            <w:r>
              <w:t>“好胆固醇”，促进胆固醇逆向转运，降低心血管疾病风险，正常参考值＞1.0mmol/L（男性）、＞1.3mmol/L（女性）。</w:t>
            </w:r>
          </w:p>
        </w:tc>
      </w:tr>
    </w:tbl>
    <w:p w14:paraId="1F83FD88" w14:textId="77777777" w:rsidR="0072137A" w:rsidRDefault="0072137A" w:rsidP="0072137A">
      <w:pPr>
        <w:pStyle w:val="0"/>
      </w:pPr>
    </w:p>
    <w:p w14:paraId="25A20321" w14:textId="77777777" w:rsidR="0072137A" w:rsidRDefault="0072137A" w:rsidP="0072137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72137A" w14:paraId="16DC0791" w14:textId="77777777" w:rsidTr="005971A0">
        <w:trPr>
          <w:trHeight w:hRule="exact" w:val="113"/>
          <w:jc w:val="center"/>
        </w:trPr>
        <w:tc>
          <w:tcPr>
            <w:tcW w:w="1560" w:type="dxa"/>
            <w:gridSpan w:val="2"/>
            <w:tcBorders>
              <w:top w:val="single" w:sz="4" w:space="0" w:color="auto"/>
            </w:tcBorders>
            <w:vAlign w:val="center"/>
          </w:tcPr>
          <w:p w14:paraId="535ECFB8" w14:textId="77777777" w:rsidR="0072137A" w:rsidRDefault="0072137A"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753B1AA" w14:textId="77777777" w:rsidR="0072137A" w:rsidRDefault="0072137A"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0D3AF35" w14:textId="77777777" w:rsidR="0072137A" w:rsidRDefault="0072137A"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3F56609" w14:textId="77777777" w:rsidR="0072137A" w:rsidRDefault="0072137A"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85842AE" w14:textId="77777777" w:rsidR="0072137A" w:rsidRDefault="0072137A"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1D02FE21" w14:textId="77777777" w:rsidR="0072137A" w:rsidRDefault="0072137A" w:rsidP="005971A0">
            <w:pPr>
              <w:spacing w:line="300" w:lineRule="exact"/>
              <w:jc w:val="right"/>
              <w:rPr>
                <w:color w:val="323E4F" w:themeColor="text2" w:themeShade="BF"/>
                <w:sz w:val="2"/>
                <w:szCs w:val="2"/>
              </w:rPr>
            </w:pPr>
          </w:p>
        </w:tc>
      </w:tr>
      <w:tr w:rsidR="0072137A" w14:paraId="561A8555" w14:textId="77777777" w:rsidTr="005971A0">
        <w:trPr>
          <w:trHeight w:val="432"/>
          <w:jc w:val="center"/>
        </w:trPr>
        <w:tc>
          <w:tcPr>
            <w:tcW w:w="1150" w:type="dxa"/>
            <w:vAlign w:val="center"/>
          </w:tcPr>
          <w:p w14:paraId="121AF569"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LDL</w:t>
            </w:r>
          </w:p>
        </w:tc>
        <w:tc>
          <w:tcPr>
            <w:tcW w:w="2536" w:type="dxa"/>
            <w:gridSpan w:val="2"/>
            <w:vAlign w:val="center"/>
          </w:tcPr>
          <w:p w14:paraId="2F45654F"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低密度脂蛋白</w:t>
            </w:r>
          </w:p>
        </w:tc>
        <w:tc>
          <w:tcPr>
            <w:tcW w:w="1754" w:type="dxa"/>
            <w:gridSpan w:val="2"/>
            <w:vAlign w:val="center"/>
          </w:tcPr>
          <w:p>
            <w:r>
              <w:t>{{LDL_result}}</w:t>
            </w:r>
          </w:p>
        </w:tc>
        <w:tc>
          <w:tcPr>
            <w:tcW w:w="825" w:type="dxa"/>
            <w:gridSpan w:val="2"/>
            <w:vAlign w:val="center"/>
          </w:tcPr>
          <w:p>
            <w:r>
              <w:t>{{LDL_point}}</w:t>
            </w:r>
          </w:p>
        </w:tc>
        <w:tc>
          <w:tcPr>
            <w:tcW w:w="1980" w:type="dxa"/>
            <w:gridSpan w:val="2"/>
            <w:vAlign w:val="center"/>
          </w:tcPr>
          <w:p>
            <w:r>
              <w:t>{{LDL_refer}}</w:t>
            </w:r>
          </w:p>
        </w:tc>
        <w:tc>
          <w:tcPr>
            <w:tcW w:w="1408" w:type="dxa"/>
            <w:gridSpan w:val="2"/>
            <w:vAlign w:val="center"/>
          </w:tcPr>
          <w:p>
            <w:r>
              <w:t>{{LDL_unit}}</w:t>
            </w:r>
          </w:p>
        </w:tc>
      </w:tr>
      <w:tr w:rsidR="0072137A" w14:paraId="0C541E87" w14:textId="77777777" w:rsidTr="005971A0">
        <w:trPr>
          <w:trHeight w:val="1651"/>
          <w:jc w:val="center"/>
        </w:trPr>
        <w:tc>
          <w:tcPr>
            <w:tcW w:w="9653" w:type="dxa"/>
            <w:gridSpan w:val="11"/>
            <w:vAlign w:val="center"/>
          </w:tcPr>
          <w:p w14:paraId="5279E073" w14:textId="77777777" w:rsidR="0072137A" w:rsidRDefault="0072137A" w:rsidP="005971A0"/>
          <w:p w14:paraId="28A47C10" w14:textId="77777777" w:rsidR="0072137A" w:rsidRDefault="0072137A" w:rsidP="005971A0">
            <w:r>
              <w:rPr>
                <w:b/>
                <w:bCs/>
              </w:rPr>
              <w:t>Clinical Significance:</w:t>
            </w:r>
            <w:r>
              <w:t xml:space="preserve"> "Bad cholesterol", a core factor causing atherosclerosis, a key indicator for evaluating the risk of cardiovascular diseases. Normal reference value: &lt; 3.4mmol/L (appropriate level), 3.4 - 4.1mmol/L is borderline elevation, &gt; 4.1mmol/L is elevation.</w:t>
            </w:r>
          </w:p>
          <w:p w14:paraId="493834F3" w14:textId="77777777" w:rsidR="0072137A" w:rsidRDefault="0072137A" w:rsidP="005971A0">
            <w:r>
              <w:rPr>
                <w:b/>
                <w:bCs/>
              </w:rPr>
              <w:t>临床意义：</w:t>
            </w:r>
            <w:r>
              <w:t>“坏胆固醇”，致动脉粥样硬化核心因素，评估心血管疾病风险关键指标，正常参考值＜3.4mmol/L（合适水平），3.4-4.1mmol/L为边缘升高，＞4.1mmol/L为升高。</w:t>
            </w:r>
          </w:p>
        </w:tc>
      </w:tr>
    </w:tbl>
    <w:p w14:paraId="06B3406D" w14:textId="77777777" w:rsidR="0072137A" w:rsidRDefault="0072137A" w:rsidP="0072137A">
      <w:pPr>
        <w:pStyle w:val="0"/>
        <w:sectPr w:rsidR="0072137A" w:rsidSect="0072137A">
          <w:pgSz w:w="11901" w:h="16817"/>
          <w:pgMar w:top="1418" w:right="1134" w:bottom="1021" w:left="1191" w:header="851" w:footer="992" w:gutter="0"/>
          <w:cols w:space="425"/>
          <w:docGrid w:linePitch="312"/>
        </w:sectPr>
      </w:pPr>
    </w:p>
    <w:p w14:paraId="622CD93C" w14:textId="0D863B70" w:rsidR="009967D1" w:rsidRDefault="002C6628" w:rsidP="00A642C1">
      <w:pPr>
        <w:pStyle w:val="3-"/>
      </w:pPr>
      <w:r>
        <w:rPr>
          <w:rFonts w:hint="eastAsia"/>
        </w:rPr>
        <w:lastRenderedPageBreak/>
        <w:t>Blood Type</w:t>
      </w:r>
      <w:r>
        <w:br/>
      </w:r>
      <w:r w:rsidR="0080134E">
        <w:rPr>
          <w:rFonts w:hint="eastAsia"/>
        </w:rPr>
        <w:t>血型</w:t>
      </w:r>
    </w:p>
    <w:p w14:paraId="14BAC1BC" w14:textId="77777777" w:rsidR="002C6628" w:rsidRPr="004619DA" w:rsidRDefault="002C6628" w:rsidP="002C6628">
      <w:pPr>
        <w:pStyle w:val="0"/>
      </w:pPr>
    </w:p>
    <w:p w14:paraId="5BA6FCEC" w14:textId="790E8D27" w:rsidR="002C6628" w:rsidRDefault="002C6628" w:rsidP="00A642C1">
      <w:pPr>
        <w:pStyle w:val="00"/>
      </w:pPr>
      <w:r w:rsidRPr="002C6628">
        <w:t>Blood type testing is one of the most fundamental and critical laboratory assessments. It plays an essential role not only in ensuring the safety of blood transfusions and organ transplantation but also in pregnancy management, disease risk prediction, and personalized health care. The two primary systems are the ABO blood group system (A, B, AB, and O types) and the Rh blood group system (Rh-positive and Rh-negative). These systems form the cornerstone of transfusion medicine, as mismatched blood transfusion can lead to severe hemolytic reactions and even life-threatening complications</w:t>
      </w:r>
      <w:r w:rsidRPr="004619DA">
        <w:t>.</w:t>
      </w:r>
    </w:p>
    <w:p w14:paraId="3041C958" w14:textId="4A0AE300" w:rsidR="002C6628" w:rsidRDefault="002C6628" w:rsidP="002C6628">
      <w:pPr>
        <w:pStyle w:val="0"/>
      </w:pPr>
      <w:r w:rsidRPr="002C6628">
        <w:t>血型检测是临床最基础且最关键的实验室检测之一，它不仅决定输血和器官移植的安全性，还在妊娠管理、疾病风险预测以及个性化健康管理中发挥着重要作用。常规血型主要分为</w:t>
      </w:r>
      <w:r w:rsidRPr="002C6628">
        <w:t xml:space="preserve"> ABO </w:t>
      </w:r>
      <w:r w:rsidRPr="002C6628">
        <w:t>血型系统（</w:t>
      </w:r>
      <w:r w:rsidRPr="002C6628">
        <w:t>A</w:t>
      </w:r>
      <w:r w:rsidRPr="002C6628">
        <w:t>型、</w:t>
      </w:r>
      <w:r w:rsidRPr="002C6628">
        <w:t>B</w:t>
      </w:r>
      <w:r w:rsidRPr="002C6628">
        <w:t>型、</w:t>
      </w:r>
      <w:r w:rsidRPr="002C6628">
        <w:t>AB</w:t>
      </w:r>
      <w:r w:rsidRPr="002C6628">
        <w:t>型、</w:t>
      </w:r>
      <w:r w:rsidRPr="002C6628">
        <w:t>O</w:t>
      </w:r>
      <w:r w:rsidRPr="002C6628">
        <w:t>型）和</w:t>
      </w:r>
      <w:r w:rsidRPr="002C6628">
        <w:t xml:space="preserve"> Rh </w:t>
      </w:r>
      <w:r w:rsidRPr="002C6628">
        <w:t>血型系统（</w:t>
      </w:r>
      <w:r w:rsidRPr="002C6628">
        <w:t>Rh</w:t>
      </w:r>
      <w:r w:rsidRPr="002C6628">
        <w:t>阳性与</w:t>
      </w:r>
      <w:r w:rsidRPr="002C6628">
        <w:t>Rh</w:t>
      </w:r>
      <w:r w:rsidRPr="002C6628">
        <w:t>阴性）。这两大系统是临床输血最核心的依据，任何错误都可能引发严重的溶血反应甚至危及生命</w:t>
      </w:r>
      <w:r w:rsidRPr="004619DA">
        <w:t>。</w:t>
      </w:r>
    </w:p>
    <w:p w14:paraId="3A5B3D54" w14:textId="41A3C983" w:rsidR="002C6628" w:rsidRDefault="002C6628" w:rsidP="00A642C1">
      <w:pPr>
        <w:pStyle w:val="00"/>
      </w:pPr>
      <w:r w:rsidRPr="002C6628">
        <w:t>From a health management perspective, blood typing has multiple values. First, it ensures safety in transfusion and surgical procedures, allowing rapid and compatible blood matching in emergencies. Second, in pregnancy management, Rh-negative mothers carrying Rh-positive fetuses are at risk of hemolytic disease of the newborn, making blood type testing crucial during prenatal care. Moreover, recent studies suggest potential associations between blood type and susceptibility to certain diseases—for example, individuals with type O blood may have a lower risk of cardiovascular disease, while those with type A may have slightly higher risks of certain cancers or infections.</w:t>
      </w:r>
    </w:p>
    <w:p w14:paraId="62AF3D11" w14:textId="5155195F" w:rsidR="002C6628" w:rsidRPr="00A642C1" w:rsidRDefault="002C6628" w:rsidP="002C6628">
      <w:pPr>
        <w:pStyle w:val="0"/>
        <w:rPr>
          <w:color w:val="000000" w:themeColor="text1"/>
        </w:rPr>
      </w:pPr>
      <w:r w:rsidRPr="00A642C1">
        <w:rPr>
          <w:color w:val="000000" w:themeColor="text1"/>
        </w:rPr>
        <w:t>在健康评估中，血型检测具有多重价值。首先，输血与手术安全是血型检测的核心应用，通过明确血型，可在紧急情况下快速进行配型和安全输血。其次，在妊娠管理中，</w:t>
      </w:r>
      <w:r w:rsidRPr="00A642C1">
        <w:rPr>
          <w:color w:val="000000" w:themeColor="text1"/>
        </w:rPr>
        <w:t xml:space="preserve">Rh </w:t>
      </w:r>
      <w:r w:rsidRPr="00A642C1">
        <w:rPr>
          <w:color w:val="000000" w:themeColor="text1"/>
        </w:rPr>
        <w:t>阴性孕妇若胎儿为</w:t>
      </w:r>
      <w:r w:rsidRPr="00A642C1">
        <w:rPr>
          <w:color w:val="000000" w:themeColor="text1"/>
        </w:rPr>
        <w:t xml:space="preserve"> Rh </w:t>
      </w:r>
      <w:r w:rsidRPr="00A642C1">
        <w:rPr>
          <w:color w:val="000000" w:themeColor="text1"/>
        </w:rPr>
        <w:t>阳性，可能出现母婴血型不合而导致新生儿溶血病，因此孕期血型检测尤为重要。再次，近年来研究发现，血型与某些疾病的易感性和风险存在一定关联，例如</w:t>
      </w:r>
      <w:r w:rsidRPr="00A642C1">
        <w:rPr>
          <w:color w:val="000000" w:themeColor="text1"/>
        </w:rPr>
        <w:t xml:space="preserve"> O </w:t>
      </w:r>
      <w:r w:rsidRPr="00A642C1">
        <w:rPr>
          <w:color w:val="000000" w:themeColor="text1"/>
        </w:rPr>
        <w:t>型血人群心血管疾病风险相对较低，而</w:t>
      </w:r>
      <w:r w:rsidRPr="00A642C1">
        <w:rPr>
          <w:color w:val="000000" w:themeColor="text1"/>
        </w:rPr>
        <w:t xml:space="preserve"> A </w:t>
      </w:r>
      <w:r w:rsidRPr="00A642C1">
        <w:rPr>
          <w:color w:val="000000" w:themeColor="text1"/>
        </w:rPr>
        <w:t>型血人群某些癌症和感染的风险略高。</w:t>
      </w:r>
    </w:p>
    <w:p w14:paraId="34B0E78E" w14:textId="2F1B8A3F" w:rsidR="002C6628" w:rsidRDefault="002C6628" w:rsidP="00A642C1">
      <w:pPr>
        <w:pStyle w:val="00"/>
      </w:pPr>
      <w:r w:rsidRPr="002C6628">
        <w:t>In addition, blood type is increasingly explored in personalized health management and nutritional science, with research investigating links between blood group, metabolic traits, dietary responses, and immune status, providing new insights into precision health interventions.</w:t>
      </w:r>
    </w:p>
    <w:p w14:paraId="65F4C37B" w14:textId="77777777" w:rsidR="002C6628" w:rsidRDefault="002C6628" w:rsidP="002C6628">
      <w:pPr>
        <w:pStyle w:val="0"/>
        <w:rPr>
          <w:color w:val="000000" w:themeColor="text1"/>
        </w:rPr>
      </w:pPr>
      <w:r w:rsidRPr="00A642C1">
        <w:rPr>
          <w:color w:val="000000" w:themeColor="text1"/>
        </w:rPr>
        <w:t>此外，血型还逐渐应用于个性化健康管理和营养学研究中，部分研究探索血型与代谢特点、饮食反应及免疫状态之间的关系，为精准营养与健康干预提供参考。</w:t>
      </w:r>
    </w:p>
    <w:p w14:paraId="4394FC48" w14:textId="74682B0C" w:rsidR="009E1205" w:rsidRPr="00A642C1" w:rsidRDefault="009E1205" w:rsidP="002C6628">
      <w:pPr>
        <w:pStyle w:val="0"/>
        <w:rPr>
          <w:color w:val="000000" w:themeColor="text1"/>
        </w:rPr>
      </w:pPr>
      <w:r w:rsidRPr="009E1205">
        <w:rPr>
          <w:noProof/>
        </w:rPr>
        <w:drawing>
          <wp:anchor distT="0" distB="0" distL="114300" distR="114300" simplePos="0" relativeHeight="251670528" behindDoc="0" locked="0" layoutInCell="1" allowOverlap="1" wp14:anchorId="77EE1AFC" wp14:editId="5B48518F">
            <wp:simplePos x="0" y="0"/>
            <wp:positionH relativeFrom="column">
              <wp:posOffset>1270</wp:posOffset>
            </wp:positionH>
            <wp:positionV relativeFrom="paragraph">
              <wp:posOffset>344805</wp:posOffset>
            </wp:positionV>
            <wp:extent cx="6080125" cy="1706245"/>
            <wp:effectExtent l="0" t="0" r="3175" b="0"/>
            <wp:wrapNone/>
            <wp:docPr id="10858998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899840" name="图片 1"/>
                    <pic:cNvPicPr/>
                  </pic:nvPicPr>
                  <pic:blipFill>
                    <a:blip r:embed="rId18">
                      <a:extLst>
                        <a:ext uri="{28A0092B-C50C-407E-A947-70E740481C1C}">
                          <a14:useLocalDpi xmlns:a14="http://schemas.microsoft.com/office/drawing/2010/main" val="0"/>
                        </a:ext>
                      </a:extLst>
                    </a:blip>
                    <a:srcRect t="7189" b="7189"/>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CAA1E5" w14:textId="0AF85882" w:rsidR="009967D1" w:rsidRPr="002C6628" w:rsidRDefault="009967D1">
      <w:pPr>
        <w:widowControl/>
        <w:spacing w:line="400" w:lineRule="exact"/>
        <w:ind w:firstLineChars="200" w:firstLine="480"/>
        <w:rPr>
          <w:rFonts w:cs="DengXian"/>
          <w:color w:val="323E4F" w:themeColor="text2" w:themeShade="BF"/>
          <w:sz w:val="24"/>
        </w:rPr>
      </w:pPr>
    </w:p>
    <w:p w14:paraId="65B19E10" w14:textId="77777777" w:rsidR="009967D1" w:rsidRDefault="0080134E">
      <w:pPr>
        <w:widowControl/>
        <w:jc w:val="left"/>
      </w:pPr>
      <w:r>
        <w:br w:type="page"/>
      </w:r>
    </w:p>
    <w:p w14:paraId="6A09BDC7"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157383B" w14:textId="77777777">
        <w:trPr>
          <w:trHeight w:val="839"/>
          <w:jc w:val="center"/>
        </w:trPr>
        <w:tc>
          <w:tcPr>
            <w:tcW w:w="1150" w:type="dxa"/>
            <w:tcBorders>
              <w:top w:val="single" w:sz="4" w:space="0" w:color="auto"/>
              <w:bottom w:val="single" w:sz="4" w:space="0" w:color="auto"/>
            </w:tcBorders>
            <w:vAlign w:val="center"/>
          </w:tcPr>
          <w:p w14:paraId="12C25FB3"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45DE18C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7469D12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1A89A1D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2D131C8F"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513B7729"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55F9F837" w14:textId="77777777">
        <w:trPr>
          <w:trHeight w:val="1111"/>
          <w:jc w:val="center"/>
        </w:trPr>
        <w:tc>
          <w:tcPr>
            <w:tcW w:w="9653" w:type="dxa"/>
            <w:gridSpan w:val="11"/>
            <w:tcBorders>
              <w:top w:val="single" w:sz="4" w:space="0" w:color="auto"/>
              <w:bottom w:val="single" w:sz="4" w:space="0" w:color="auto"/>
            </w:tcBorders>
            <w:vAlign w:val="center"/>
          </w:tcPr>
          <w:p w14:paraId="3A15358E" w14:textId="25DC305E"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Blood </w:t>
            </w:r>
            <w:r w:rsidR="00F40976">
              <w:rPr>
                <w:rFonts w:hint="eastAsia"/>
                <w:b/>
                <w:bCs/>
                <w:color w:val="323E4F" w:themeColor="text2" w:themeShade="BF"/>
                <w:sz w:val="32"/>
                <w:szCs w:val="32"/>
              </w:rPr>
              <w:t>T</w:t>
            </w:r>
            <w:r>
              <w:rPr>
                <w:rFonts w:hint="eastAsia"/>
                <w:b/>
                <w:bCs/>
                <w:color w:val="323E4F" w:themeColor="text2" w:themeShade="BF"/>
                <w:sz w:val="32"/>
                <w:szCs w:val="32"/>
              </w:rPr>
              <w:t>ype</w:t>
            </w:r>
          </w:p>
          <w:p w14:paraId="5AB467AB" w14:textId="77777777" w:rsidR="009967D1" w:rsidRDefault="0080134E">
            <w:pPr>
              <w:spacing w:line="400" w:lineRule="exact"/>
              <w:jc w:val="center"/>
              <w:rPr>
                <w:color w:val="323E4F" w:themeColor="text2" w:themeShade="BF"/>
                <w:sz w:val="32"/>
                <w:szCs w:val="32"/>
              </w:rPr>
            </w:pPr>
            <w:r>
              <w:rPr>
                <w:rFonts w:hint="eastAsia"/>
                <w:color w:val="323E4F" w:themeColor="text2" w:themeShade="BF"/>
                <w:sz w:val="32"/>
                <w:szCs w:val="32"/>
              </w:rPr>
              <w:t>血型</w:t>
            </w:r>
          </w:p>
        </w:tc>
      </w:tr>
      <w:tr w:rsidR="009967D1" w14:paraId="40D478D3" w14:textId="77777777">
        <w:trPr>
          <w:trHeight w:hRule="exact" w:val="113"/>
          <w:jc w:val="center"/>
        </w:trPr>
        <w:tc>
          <w:tcPr>
            <w:tcW w:w="1560" w:type="dxa"/>
            <w:gridSpan w:val="2"/>
            <w:tcBorders>
              <w:top w:val="single" w:sz="4" w:space="0" w:color="auto"/>
            </w:tcBorders>
            <w:vAlign w:val="center"/>
          </w:tcPr>
          <w:p w14:paraId="71B441C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B4D3DE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D4D6884"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DAF6B5E"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DB6BFB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6E52BF7" w14:textId="77777777" w:rsidR="009967D1" w:rsidRDefault="009967D1">
            <w:pPr>
              <w:spacing w:line="300" w:lineRule="exact"/>
              <w:jc w:val="right"/>
              <w:rPr>
                <w:color w:val="323E4F" w:themeColor="text2" w:themeShade="BF"/>
                <w:sz w:val="2"/>
                <w:szCs w:val="2"/>
              </w:rPr>
            </w:pPr>
          </w:p>
        </w:tc>
      </w:tr>
      <w:tr w:rsidR="009967D1" w14:paraId="2E06171F" w14:textId="77777777">
        <w:trPr>
          <w:trHeight w:val="432"/>
          <w:jc w:val="center"/>
        </w:trPr>
        <w:tc>
          <w:tcPr>
            <w:tcW w:w="1150" w:type="dxa"/>
            <w:vAlign w:val="center"/>
          </w:tcPr>
          <w:p w14:paraId="322C052E" w14:textId="77777777" w:rsidR="009967D1" w:rsidRDefault="0080134E">
            <w:pPr>
              <w:spacing w:line="400" w:lineRule="exact"/>
              <w:jc w:val="center"/>
              <w:rPr>
                <w:b/>
                <w:bCs/>
                <w:color w:val="000000" w:themeColor="text1"/>
                <w:sz w:val="24"/>
              </w:rPr>
            </w:pPr>
            <w:r>
              <w:rPr>
                <w:rFonts w:hint="eastAsia"/>
                <w:b/>
                <w:bCs/>
                <w:color w:val="000000" w:themeColor="text1"/>
                <w:sz w:val="24"/>
              </w:rPr>
              <w:t>Blood type</w:t>
            </w:r>
          </w:p>
        </w:tc>
        <w:tc>
          <w:tcPr>
            <w:tcW w:w="2536" w:type="dxa"/>
            <w:gridSpan w:val="2"/>
            <w:vAlign w:val="center"/>
          </w:tcPr>
          <w:p w14:paraId="5DCF76F9" w14:textId="77777777" w:rsidR="009967D1" w:rsidRDefault="0080134E">
            <w:pPr>
              <w:spacing w:line="400" w:lineRule="exact"/>
              <w:jc w:val="center"/>
              <w:rPr>
                <w:b/>
                <w:bCs/>
                <w:color w:val="000000" w:themeColor="text1"/>
                <w:sz w:val="24"/>
              </w:rPr>
            </w:pPr>
            <w:r>
              <w:rPr>
                <w:rFonts w:hint="eastAsia"/>
                <w:b/>
                <w:bCs/>
                <w:color w:val="000000" w:themeColor="text1"/>
                <w:sz w:val="24"/>
              </w:rPr>
              <w:t>血型</w:t>
            </w:r>
          </w:p>
        </w:tc>
        <w:tc>
          <w:tcPr>
            <w:tcW w:w="1754" w:type="dxa"/>
            <w:gridSpan w:val="2"/>
            <w:vAlign w:val="center"/>
          </w:tcPr>
          <w:p>
            <w:r>
              <w:t>{{BLOODTYPE_result}}</w:t>
            </w:r>
          </w:p>
        </w:tc>
        <w:tc>
          <w:tcPr>
            <w:tcW w:w="825" w:type="dxa"/>
            <w:gridSpan w:val="2"/>
            <w:vAlign w:val="center"/>
          </w:tcPr>
          <w:p>
            <w:r>
              <w:t>{{BLOODTYPE_point}}</w:t>
            </w:r>
          </w:p>
        </w:tc>
        <w:tc>
          <w:tcPr>
            <w:tcW w:w="1980" w:type="dxa"/>
            <w:gridSpan w:val="2"/>
            <w:vAlign w:val="center"/>
          </w:tcPr>
          <w:p>
            <w:r>
              <w:t>{{BLOODTYPE_refer}}</w:t>
            </w:r>
          </w:p>
        </w:tc>
        <w:tc>
          <w:tcPr>
            <w:tcW w:w="1408" w:type="dxa"/>
            <w:gridSpan w:val="2"/>
            <w:vAlign w:val="center"/>
          </w:tcPr>
          <w:p>
            <w:r>
              <w:t>{{BLOODTYPE_unit}}</w:t>
            </w:r>
          </w:p>
        </w:tc>
      </w:tr>
      <w:tr w:rsidR="009967D1" w14:paraId="7CF8E8BD" w14:textId="77777777">
        <w:trPr>
          <w:trHeight w:val="1651"/>
          <w:jc w:val="center"/>
        </w:trPr>
        <w:tc>
          <w:tcPr>
            <w:tcW w:w="9653" w:type="dxa"/>
            <w:gridSpan w:val="11"/>
            <w:vAlign w:val="center"/>
          </w:tcPr>
          <w:p w14:paraId="3AB1BA8E" w14:textId="77777777" w:rsidR="009967D1" w:rsidRDefault="009967D1"/>
          <w:p w14:paraId="4F4EBF90" w14:textId="77777777" w:rsidR="009967D1" w:rsidRDefault="0080134E">
            <w:r>
              <w:rPr>
                <w:b/>
                <w:bCs/>
              </w:rPr>
              <w:t>Clinical Significance:</w:t>
            </w:r>
            <w:r>
              <w:t xml:space="preserve"> Used for blood type identification to ensure blood transfusion safety (blood type matching is required during blood transfusion</w:t>
            </w:r>
            <w:proofErr w:type="gramStart"/>
            <w:r>
              <w:t>), and</w:t>
            </w:r>
            <w:proofErr w:type="gramEnd"/>
            <w:r>
              <w:t xml:space="preserve"> also used in fields such as organ transplantation and forensic medicine.</w:t>
            </w:r>
          </w:p>
          <w:p w14:paraId="1B17D952" w14:textId="77777777" w:rsidR="009967D1" w:rsidRDefault="0080134E">
            <w:r>
              <w:rPr>
                <w:b/>
                <w:bCs/>
              </w:rPr>
              <w:t>临床意义：</w:t>
            </w:r>
            <w:r>
              <w:t>用于血型鉴定，保障输血安全（输血时需血型匹配），也在器官移植、法医学等领域有应用。</w:t>
            </w:r>
          </w:p>
        </w:tc>
      </w:tr>
      <w:tr w:rsidR="009967D1" w14:paraId="55F9F837" w14:textId="77777777">
        <w:trPr>
          <w:trHeight w:val="1111"/>
          <w:jc w:val="center"/>
        </w:trPr>
        <w:tc>
          <w:tcPr>
            <w:tcW w:w="9653" w:type="dxa"/>
            <w:gridSpan w:val="11"/>
            <w:tcBorders>
              <w:top w:val="single" w:sz="4" w:space="0" w:color="auto"/>
              <w:bottom w:val="single" w:sz="4" w:space="0" w:color="auto"/>
            </w:tcBorders>
            <w:vAlign w:val="center"/>
          </w:tcPr>
          <w:p>
            <w:r/>
          </w:p>
        </w:tc>
      </w:tr>
    </w:tbl>
    <w:p w14:paraId="7405A593" w14:textId="77777777" w:rsidR="009967D1" w:rsidRDefault="009967D1" w:rsidP="004619DA">
      <w:pPr>
        <w:pStyle w:val="0"/>
      </w:pPr>
    </w:p>
    <w:p w14:paraId="17ADEF77"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109BEA8" w14:textId="77777777">
        <w:trPr>
          <w:trHeight w:hRule="exact" w:val="113"/>
          <w:jc w:val="center"/>
        </w:trPr>
        <w:tc>
          <w:tcPr>
            <w:tcW w:w="1560" w:type="dxa"/>
            <w:gridSpan w:val="2"/>
            <w:tcBorders>
              <w:top w:val="single" w:sz="4" w:space="0" w:color="auto"/>
            </w:tcBorders>
            <w:vAlign w:val="center"/>
          </w:tcPr>
          <w:p w14:paraId="06C873D6"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31096C8"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E755FC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7E84F6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63BE548"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2D7EF72" w14:textId="77777777" w:rsidR="009967D1" w:rsidRDefault="009967D1">
            <w:pPr>
              <w:spacing w:line="300" w:lineRule="exact"/>
              <w:jc w:val="right"/>
              <w:rPr>
                <w:color w:val="323E4F" w:themeColor="text2" w:themeShade="BF"/>
                <w:sz w:val="2"/>
                <w:szCs w:val="2"/>
              </w:rPr>
            </w:pPr>
          </w:p>
        </w:tc>
      </w:tr>
      <w:tr w:rsidR="009967D1" w14:paraId="7FE276BD" w14:textId="77777777">
        <w:trPr>
          <w:trHeight w:val="432"/>
          <w:jc w:val="center"/>
        </w:trPr>
        <w:tc>
          <w:tcPr>
            <w:tcW w:w="1150" w:type="dxa"/>
            <w:vAlign w:val="center"/>
          </w:tcPr>
          <w:p w14:paraId="7DE40F7D" w14:textId="77777777" w:rsidR="009967D1" w:rsidRDefault="0080134E">
            <w:pPr>
              <w:spacing w:line="400" w:lineRule="exact"/>
              <w:jc w:val="center"/>
              <w:rPr>
                <w:b/>
                <w:bCs/>
                <w:color w:val="000000" w:themeColor="text1"/>
                <w:sz w:val="24"/>
              </w:rPr>
            </w:pPr>
            <w:r>
              <w:rPr>
                <w:rFonts w:hint="eastAsia"/>
                <w:b/>
                <w:bCs/>
                <w:color w:val="000000" w:themeColor="text1"/>
                <w:sz w:val="24"/>
              </w:rPr>
              <w:t>Blood type RH</w:t>
            </w:r>
          </w:p>
        </w:tc>
        <w:tc>
          <w:tcPr>
            <w:tcW w:w="2536" w:type="dxa"/>
            <w:gridSpan w:val="2"/>
            <w:vAlign w:val="center"/>
          </w:tcPr>
          <w:p w14:paraId="31333429" w14:textId="77777777" w:rsidR="009967D1" w:rsidRDefault="0080134E">
            <w:pPr>
              <w:spacing w:line="400" w:lineRule="exact"/>
              <w:jc w:val="center"/>
              <w:rPr>
                <w:b/>
                <w:bCs/>
                <w:color w:val="000000" w:themeColor="text1"/>
                <w:sz w:val="24"/>
              </w:rPr>
            </w:pPr>
            <w:r>
              <w:rPr>
                <w:rFonts w:hint="eastAsia"/>
                <w:b/>
                <w:bCs/>
                <w:color w:val="000000" w:themeColor="text1"/>
                <w:sz w:val="24"/>
              </w:rPr>
              <w:t>RH 血型</w:t>
            </w:r>
          </w:p>
        </w:tc>
        <w:tc>
          <w:tcPr>
            <w:tcW w:w="1754" w:type="dxa"/>
            <w:gridSpan w:val="2"/>
            <w:vAlign w:val="center"/>
          </w:tcPr>
          <w:p>
            <w:r>
              <w:t>{{BLOODTYPERH_result}}</w:t>
            </w:r>
          </w:p>
        </w:tc>
        <w:tc>
          <w:tcPr>
            <w:tcW w:w="825" w:type="dxa"/>
            <w:gridSpan w:val="2"/>
            <w:vAlign w:val="center"/>
          </w:tcPr>
          <w:p>
            <w:r>
              <w:t>{{BLOODTYPERH_point}}</w:t>
            </w:r>
          </w:p>
        </w:tc>
        <w:tc>
          <w:tcPr>
            <w:tcW w:w="1980" w:type="dxa"/>
            <w:gridSpan w:val="2"/>
            <w:vAlign w:val="center"/>
          </w:tcPr>
          <w:p>
            <w:r>
              <w:t>{{BLOODTYPERH_refer}}</w:t>
            </w:r>
          </w:p>
        </w:tc>
        <w:tc>
          <w:tcPr>
            <w:tcW w:w="1408" w:type="dxa"/>
            <w:gridSpan w:val="2"/>
            <w:vAlign w:val="center"/>
          </w:tcPr>
          <w:p>
            <w:r>
              <w:t>{{BLOODTYPERH_unit}}</w:t>
            </w:r>
          </w:p>
        </w:tc>
      </w:tr>
      <w:tr w:rsidR="009967D1" w14:paraId="48356A97" w14:textId="77777777">
        <w:trPr>
          <w:trHeight w:val="1651"/>
          <w:jc w:val="center"/>
        </w:trPr>
        <w:tc>
          <w:tcPr>
            <w:tcW w:w="9653" w:type="dxa"/>
            <w:gridSpan w:val="11"/>
            <w:vAlign w:val="center"/>
          </w:tcPr>
          <w:p w14:paraId="2DF23DAD" w14:textId="77777777" w:rsidR="009967D1" w:rsidRDefault="009967D1"/>
          <w:p w14:paraId="4134E9D8" w14:textId="77777777" w:rsidR="009967D1" w:rsidRDefault="0080134E">
            <w:r>
              <w:rPr>
                <w:b/>
                <w:bCs/>
              </w:rPr>
              <w:t>Clinical Significance:</w:t>
            </w:r>
            <w:r>
              <w:t xml:space="preserve"> The RH blood type system is important. Most people are RH positive. RH negative people ("panda blood") need special attention during blood transfusion, and it is also related to neonatal hemolytic disease (which may occur when the mother is RH negative and the fetus is RH positive).</w:t>
            </w:r>
          </w:p>
          <w:p w14:paraId="25FBCEB3" w14:textId="77777777" w:rsidR="009967D1" w:rsidRDefault="0080134E">
            <w:r>
              <w:rPr>
                <w:b/>
                <w:bCs/>
              </w:rPr>
              <w:t>临床意义：</w:t>
            </w:r>
            <w:r>
              <w:t>RH血型系统重要，大部分人RH阳性，RH阴性者（熊猫血）输血时需特殊注意，也与新生儿溶血病（母亲RH阴性，胎儿RH阳性时可能发生）相关。</w:t>
            </w:r>
          </w:p>
        </w:tc>
      </w:tr>
    </w:tbl>
    <w:p w14:paraId="4446FA39"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71FA2E9A" w14:textId="0A0C9841" w:rsidR="009967D1" w:rsidRDefault="00B42E6E" w:rsidP="00651024">
      <w:pPr>
        <w:pStyle w:val="3-"/>
      </w:pPr>
      <w:r>
        <w:rPr>
          <w:rFonts w:hint="eastAsia"/>
        </w:rPr>
        <w:lastRenderedPageBreak/>
        <w:t>B</w:t>
      </w:r>
      <w:r w:rsidRPr="00B42E6E">
        <w:t xml:space="preserve">lood </w:t>
      </w:r>
      <w:r>
        <w:rPr>
          <w:rFonts w:hint="eastAsia"/>
        </w:rPr>
        <w:t>C</w:t>
      </w:r>
      <w:r w:rsidRPr="00B42E6E">
        <w:t>oagulation</w:t>
      </w:r>
      <w:r>
        <w:br/>
      </w:r>
      <w:r w:rsidR="0080134E">
        <w:rPr>
          <w:rFonts w:hint="eastAsia"/>
        </w:rPr>
        <w:t>凝血功能</w:t>
      </w:r>
    </w:p>
    <w:p w14:paraId="40FBF136" w14:textId="77777777" w:rsidR="00D03474" w:rsidRDefault="00D03474" w:rsidP="00D03474">
      <w:pPr>
        <w:pStyle w:val="0"/>
      </w:pPr>
    </w:p>
    <w:p w14:paraId="48A0263B" w14:textId="384B66A1" w:rsidR="00D03474" w:rsidRDefault="00D03474" w:rsidP="00D03474">
      <w:pPr>
        <w:pStyle w:val="00"/>
      </w:pPr>
      <w:r w:rsidRPr="00D03474">
        <w:t>Coagulation function tests are essential laboratory assessments used to evaluate the hemostatic and coagulation systems of the body. By analyzing clotting time, coagulation factor activity, and fibrin metabolism, these tests help determine whether an individual is at risk of abnormal bleeding or thrombosis. Common parameters include Prothrombin Time (PT), Activated Partial Thromboplastin Time (APTT), Thrombin Time (TT), and Fibrinogen (FIB), each reflecting different aspects of the coagulation cascade.</w:t>
      </w:r>
    </w:p>
    <w:p w14:paraId="5EED88A4" w14:textId="12EA7BE8" w:rsidR="00D03474" w:rsidRDefault="00D03474" w:rsidP="00D03474">
      <w:pPr>
        <w:pStyle w:val="0"/>
      </w:pPr>
      <w:r>
        <w:t>凝血功能检测是评估血液止血与凝血系统状态的重要实验室检查，主要通过对凝血时间、凝血因子活性及纤维蛋白代谢进行分析，判断机体是否存在出血倾向或血栓风险。常用的检测项目包括凝血酶原时间（</w:t>
      </w:r>
      <w:r>
        <w:t>PT</w:t>
      </w:r>
      <w:r>
        <w:t>）、活化部分凝血活酶时间（</w:t>
      </w:r>
      <w:r>
        <w:t>APTT</w:t>
      </w:r>
      <w:r>
        <w:t>）、凝血酶时间（</w:t>
      </w:r>
      <w:r>
        <w:t>TT</w:t>
      </w:r>
      <w:r>
        <w:t>）和纤维蛋白原（</w:t>
      </w:r>
      <w:r>
        <w:t>FIB</w:t>
      </w:r>
      <w:r>
        <w:t>），它们分别从不同途径反映血液凝固过程的功能状况。</w:t>
      </w:r>
    </w:p>
    <w:p w14:paraId="599FD68A" w14:textId="5F1E0FDC" w:rsidR="00D03474" w:rsidRDefault="00D03474" w:rsidP="00D03474">
      <w:pPr>
        <w:pStyle w:val="00"/>
      </w:pPr>
      <w:r w:rsidRPr="00D03474">
        <w:t>Clinically, coagulation testing carries multiple implications. It is indispensable prior to surgery or invasive procedures to prevent intraoperative and postoperative hemorrhage. It plays a critical role in diagnosing and monitoring bleeding disorders (e.g., hemophilia, thrombocytopenia), thrombotic conditions (e.g., deep vein thrombosis, pulmonary embolism), liver diseases (due to impaired synthesis of clotting factors), and disseminated intravascular coagulation (DIC). Furthermore, patients undergoing long-term anticoagulant therapy (such as warfarin or heparin) rely on these tests to monitor treatment efficacy and safety.</w:t>
      </w:r>
    </w:p>
    <w:p w14:paraId="63F6599A" w14:textId="41C69CEA" w:rsidR="00D03474" w:rsidRDefault="00D03474" w:rsidP="00D03474">
      <w:pPr>
        <w:pStyle w:val="0"/>
      </w:pPr>
      <w:r>
        <w:t>在临床上，凝血功能检测具有多重意义。首先，它是手术与侵入性操作前必不可少的检查，可有效预防术中或术后出血并发症。其次，对于出血性疾病（如血友病、血小板减少症）、血栓性疾病（如深静脉血栓、肺栓塞）、肝脏疾病（因凝血因子合成障碍）及弥散性血管内凝血（</w:t>
      </w:r>
      <w:r>
        <w:t>DIC</w:t>
      </w:r>
      <w:r>
        <w:t>）等病症，凝血功能检查具有重要的诊断与监测价值。此外，长期服用抗凝药物（如华法林、肝素）的患者也需通过此项检测监控疗效与安全性。</w:t>
      </w:r>
    </w:p>
    <w:p w14:paraId="7CD8513E" w14:textId="6C4075F1" w:rsidR="00D03474" w:rsidRDefault="00D03474" w:rsidP="00D03474">
      <w:pPr>
        <w:pStyle w:val="00"/>
      </w:pPr>
      <w:r w:rsidRPr="00D03474">
        <w:t>In preventive health management, coagulation function tests serve as an important early warning tool. Regular monitoring helps identify latent coagulation abnormalities before clinical events occur, reducing the risk of unexpected bleeding or thrombosis. This is especially valuable for high-risk populations, such as individuals under chronic stress, those with obesity or metabolic syndrome, and people with cardiovascular risks.</w:t>
      </w:r>
    </w:p>
    <w:p w14:paraId="11B1B1BC" w14:textId="6C5BD715" w:rsidR="00D03474" w:rsidRDefault="00D03474" w:rsidP="00D03474">
      <w:pPr>
        <w:pStyle w:val="0"/>
      </w:pPr>
      <w:r>
        <w:t>在健康管理领域，凝血功能检测不仅是疾病诊疗的工具，也是早期风险预警的重要环节。通过定期检测，可以提前识别体内潜在的凝血异常，预防意外出血或血栓事件，对于高危人群（如长期熬夜、高压力人群、肥胖及代谢综合征患者）尤为关键。</w:t>
      </w:r>
    </w:p>
    <w:p w14:paraId="5982C73D" w14:textId="7A11746D" w:rsidR="009E1205" w:rsidRDefault="009E1205" w:rsidP="00D03474">
      <w:pPr>
        <w:pStyle w:val="0"/>
      </w:pPr>
      <w:r w:rsidRPr="009E1205">
        <w:rPr>
          <w:noProof/>
        </w:rPr>
        <w:drawing>
          <wp:anchor distT="0" distB="0" distL="114300" distR="114300" simplePos="0" relativeHeight="251672576" behindDoc="0" locked="0" layoutInCell="1" allowOverlap="1" wp14:anchorId="79D0D970" wp14:editId="171CAFF6">
            <wp:simplePos x="0" y="0"/>
            <wp:positionH relativeFrom="column">
              <wp:posOffset>1270</wp:posOffset>
            </wp:positionH>
            <wp:positionV relativeFrom="paragraph">
              <wp:posOffset>342900</wp:posOffset>
            </wp:positionV>
            <wp:extent cx="6080125" cy="1706245"/>
            <wp:effectExtent l="0" t="0" r="3175" b="0"/>
            <wp:wrapNone/>
            <wp:docPr id="13486129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612971" name="图片 1"/>
                    <pic:cNvPicPr/>
                  </pic:nvPicPr>
                  <pic:blipFill rotWithShape="1">
                    <a:blip r:embed="rId19">
                      <a:extLst>
                        <a:ext uri="{28A0092B-C50C-407E-A947-70E740481C1C}">
                          <a14:useLocalDpi xmlns:a14="http://schemas.microsoft.com/office/drawing/2010/main" val="0"/>
                        </a:ext>
                      </a:extLst>
                    </a:blip>
                    <a:srcRect t="21417" b="36535"/>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46980F8" w14:textId="6AC3F16B" w:rsidR="009E1205" w:rsidRDefault="009E1205" w:rsidP="00D03474">
      <w:pPr>
        <w:pStyle w:val="0"/>
      </w:pPr>
    </w:p>
    <w:p w14:paraId="5273FDE1" w14:textId="77777777" w:rsidR="009967D1" w:rsidRDefault="0080134E">
      <w:pPr>
        <w:widowControl/>
        <w:jc w:val="left"/>
      </w:pPr>
      <w:r>
        <w:br w:type="page"/>
      </w:r>
    </w:p>
    <w:p w14:paraId="46DF9088"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80CB1E4" w14:textId="77777777">
        <w:trPr>
          <w:trHeight w:val="839"/>
          <w:jc w:val="center"/>
        </w:trPr>
        <w:tc>
          <w:tcPr>
            <w:tcW w:w="1150" w:type="dxa"/>
            <w:tcBorders>
              <w:top w:val="single" w:sz="4" w:space="0" w:color="auto"/>
              <w:bottom w:val="single" w:sz="4" w:space="0" w:color="auto"/>
            </w:tcBorders>
            <w:vAlign w:val="center"/>
          </w:tcPr>
          <w:p w14:paraId="09B88B8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07CE410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0EA20BE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79AF6CA3"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59E7B39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28E22E0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07ECC3B6" w14:textId="77777777">
        <w:trPr>
          <w:trHeight w:val="1111"/>
          <w:jc w:val="center"/>
        </w:trPr>
        <w:tc>
          <w:tcPr>
            <w:tcW w:w="9653" w:type="dxa"/>
            <w:gridSpan w:val="11"/>
            <w:tcBorders>
              <w:top w:val="single" w:sz="4" w:space="0" w:color="auto"/>
              <w:bottom w:val="single" w:sz="4" w:space="0" w:color="auto"/>
            </w:tcBorders>
            <w:vAlign w:val="center"/>
          </w:tcPr>
          <w:p w14:paraId="6A112828"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B</w:t>
            </w:r>
            <w:r>
              <w:rPr>
                <w:b/>
                <w:bCs/>
                <w:color w:val="323E4F" w:themeColor="text2" w:themeShade="BF"/>
                <w:sz w:val="32"/>
                <w:szCs w:val="32"/>
              </w:rPr>
              <w:t xml:space="preserve">lood </w:t>
            </w:r>
            <w:r>
              <w:rPr>
                <w:rFonts w:hint="eastAsia"/>
                <w:b/>
                <w:bCs/>
                <w:color w:val="323E4F" w:themeColor="text2" w:themeShade="BF"/>
                <w:sz w:val="32"/>
                <w:szCs w:val="32"/>
              </w:rPr>
              <w:t>C</w:t>
            </w:r>
            <w:r>
              <w:rPr>
                <w:b/>
                <w:bCs/>
                <w:color w:val="323E4F" w:themeColor="text2" w:themeShade="BF"/>
                <w:sz w:val="32"/>
                <w:szCs w:val="32"/>
              </w:rPr>
              <w:t>oagulation</w:t>
            </w:r>
          </w:p>
          <w:p w14:paraId="2F3E6671" w14:textId="77777777" w:rsidR="009967D1" w:rsidRDefault="0080134E">
            <w:pPr>
              <w:spacing w:line="400" w:lineRule="exact"/>
              <w:jc w:val="center"/>
              <w:rPr>
                <w:color w:val="323E4F" w:themeColor="text2" w:themeShade="BF"/>
                <w:sz w:val="32"/>
                <w:szCs w:val="32"/>
              </w:rPr>
            </w:pPr>
            <w:r>
              <w:rPr>
                <w:rFonts w:hint="eastAsia"/>
                <w:color w:val="323E4F" w:themeColor="text2" w:themeShade="BF"/>
                <w:sz w:val="32"/>
                <w:szCs w:val="32"/>
              </w:rPr>
              <w:t>凝血功能</w:t>
            </w:r>
          </w:p>
        </w:tc>
      </w:tr>
      <w:tr w:rsidR="009967D1" w14:paraId="7D013DCB" w14:textId="77777777">
        <w:trPr>
          <w:trHeight w:hRule="exact" w:val="113"/>
          <w:jc w:val="center"/>
        </w:trPr>
        <w:tc>
          <w:tcPr>
            <w:tcW w:w="1560" w:type="dxa"/>
            <w:gridSpan w:val="2"/>
            <w:tcBorders>
              <w:top w:val="single" w:sz="4" w:space="0" w:color="auto"/>
            </w:tcBorders>
            <w:vAlign w:val="center"/>
          </w:tcPr>
          <w:p w14:paraId="211CDB9C"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B21B5E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74B5A2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0CE1C5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E236E0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0411CF9" w14:textId="77777777" w:rsidR="009967D1" w:rsidRDefault="009967D1">
            <w:pPr>
              <w:spacing w:line="300" w:lineRule="exact"/>
              <w:jc w:val="right"/>
              <w:rPr>
                <w:color w:val="323E4F" w:themeColor="text2" w:themeShade="BF"/>
                <w:sz w:val="2"/>
                <w:szCs w:val="2"/>
              </w:rPr>
            </w:pPr>
          </w:p>
        </w:tc>
      </w:tr>
      <w:tr w:rsidR="009967D1" w14:paraId="3E0E16B1" w14:textId="77777777">
        <w:trPr>
          <w:trHeight w:val="432"/>
          <w:jc w:val="center"/>
        </w:trPr>
        <w:tc>
          <w:tcPr>
            <w:tcW w:w="1150" w:type="dxa"/>
            <w:vAlign w:val="center"/>
          </w:tcPr>
          <w:p w14:paraId="33AC7D92" w14:textId="77777777" w:rsidR="009967D1" w:rsidRDefault="0080134E">
            <w:pPr>
              <w:spacing w:line="400" w:lineRule="exact"/>
              <w:jc w:val="center"/>
              <w:rPr>
                <w:b/>
                <w:bCs/>
                <w:color w:val="000000" w:themeColor="text1"/>
                <w:sz w:val="24"/>
              </w:rPr>
            </w:pPr>
            <w:r>
              <w:rPr>
                <w:rFonts w:hint="eastAsia"/>
                <w:b/>
                <w:bCs/>
                <w:color w:val="000000" w:themeColor="text1"/>
                <w:sz w:val="24"/>
              </w:rPr>
              <w:t>PT</w:t>
            </w:r>
          </w:p>
        </w:tc>
        <w:tc>
          <w:tcPr>
            <w:tcW w:w="2536" w:type="dxa"/>
            <w:gridSpan w:val="2"/>
            <w:vAlign w:val="center"/>
          </w:tcPr>
          <w:p w14:paraId="7B5A285F" w14:textId="77777777" w:rsidR="009967D1" w:rsidRDefault="0080134E">
            <w:pPr>
              <w:spacing w:line="400" w:lineRule="exact"/>
              <w:jc w:val="center"/>
              <w:rPr>
                <w:b/>
                <w:bCs/>
                <w:color w:val="000000" w:themeColor="text1"/>
                <w:sz w:val="24"/>
              </w:rPr>
            </w:pPr>
            <w:r>
              <w:rPr>
                <w:rFonts w:hint="eastAsia"/>
                <w:b/>
                <w:bCs/>
                <w:color w:val="000000" w:themeColor="text1"/>
                <w:sz w:val="24"/>
              </w:rPr>
              <w:t>凝血酶原时间</w:t>
            </w:r>
          </w:p>
        </w:tc>
        <w:tc>
          <w:tcPr>
            <w:tcW w:w="1754" w:type="dxa"/>
            <w:gridSpan w:val="2"/>
            <w:vAlign w:val="center"/>
          </w:tcPr>
          <w:p>
            <w:r>
              <w:t>{{PT_result}}</w:t>
            </w:r>
          </w:p>
        </w:tc>
        <w:tc>
          <w:tcPr>
            <w:tcW w:w="825" w:type="dxa"/>
            <w:gridSpan w:val="2"/>
            <w:vAlign w:val="center"/>
          </w:tcPr>
          <w:p>
            <w:r>
              <w:t>{{PT_point}}</w:t>
            </w:r>
          </w:p>
        </w:tc>
        <w:tc>
          <w:tcPr>
            <w:tcW w:w="1980" w:type="dxa"/>
            <w:gridSpan w:val="2"/>
            <w:vAlign w:val="center"/>
          </w:tcPr>
          <w:p>
            <w:r>
              <w:t>{{PT_refer}}</w:t>
            </w:r>
          </w:p>
        </w:tc>
        <w:tc>
          <w:tcPr>
            <w:tcW w:w="1408" w:type="dxa"/>
            <w:gridSpan w:val="2"/>
            <w:vAlign w:val="center"/>
          </w:tcPr>
          <w:p>
            <w:r>
              <w:t>{{PT_unit}}</w:t>
            </w:r>
          </w:p>
        </w:tc>
      </w:tr>
      <w:tr w:rsidR="009967D1" w14:paraId="625E5E10" w14:textId="77777777">
        <w:trPr>
          <w:trHeight w:val="1651"/>
          <w:jc w:val="center"/>
        </w:trPr>
        <w:tc>
          <w:tcPr>
            <w:tcW w:w="9653" w:type="dxa"/>
            <w:gridSpan w:val="11"/>
            <w:vAlign w:val="center"/>
          </w:tcPr>
          <w:p w14:paraId="3D89627C" w14:textId="77777777" w:rsidR="009967D1" w:rsidRDefault="009967D1"/>
          <w:p w14:paraId="5A94153F" w14:textId="77777777" w:rsidR="009967D1" w:rsidRDefault="0080134E">
            <w:r>
              <w:rPr>
                <w:b/>
                <w:bCs/>
              </w:rPr>
              <w:t>Clinical Significance:</w:t>
            </w:r>
            <w:r>
              <w:t xml:space="preserve"> Reflects the function of the extrinsic coagulation pathway and the common coagulation pathway, used to evaluate vitamin K deficiency, liver disease, oral anticoagulants (such as warfarin), etc. The normal reference value varies depending on the detection method, generally 11 - 13 seconds, and more than 3 seconds longer than the normal control has clinical significance.</w:t>
            </w:r>
          </w:p>
          <w:p w14:paraId="7E0008CB" w14:textId="77777777" w:rsidR="009967D1" w:rsidRDefault="0080134E">
            <w:r>
              <w:rPr>
                <w:b/>
                <w:bCs/>
              </w:rPr>
              <w:t>临床意义：</w:t>
            </w:r>
            <w:r>
              <w:t>反映外源性凝血途径及共同凝血途径的功能，用于评估维生素K缺乏、肝病、口服抗凝剂（如华法林）等情况，正常参考值因检测方法而异，一般11-13秒，超过正常对照3秒有临床意义。</w:t>
            </w:r>
          </w:p>
        </w:tc>
      </w:tr>
      <w:tr w:rsidR="009967D1" w14:paraId="3E0E16B1" w14:textId="77777777">
        <w:trPr>
          <w:trHeight w:val="432"/>
          <w:jc w:val="center"/>
        </w:trPr>
        <w:tc>
          <w:tcPr>
            <w:tcW w:w="1150" w:type="dxa"/>
            <w:vAlign w:val="center"/>
          </w:tcPr>
          <w:p>
            <w:r>
              <w:t>INR</w:t>
            </w:r>
          </w:p>
        </w:tc>
        <w:tc>
          <w:tcPr>
            <w:tcW w:w="2536" w:type="dxa"/>
            <w:gridSpan w:val="2"/>
            <w:vAlign w:val="center"/>
          </w:tcPr>
          <w:p>
            <w:r>
              <w:t>INR</w:t>
            </w:r>
          </w:p>
        </w:tc>
        <w:tc>
          <w:tcPr>
            <w:tcW w:w="1754" w:type="dxa"/>
            <w:gridSpan w:val="2"/>
            <w:vAlign w:val="center"/>
          </w:tcPr>
          <w:p>
            <w:r/>
          </w:p>
        </w:tc>
        <w:tc>
          <w:tcPr>
            <w:tcW w:w="825" w:type="dxa"/>
            <w:gridSpan w:val="2"/>
            <w:vAlign w:val="center"/>
          </w:tcPr>
          <w:p>
            <w:r/>
          </w:p>
        </w:tc>
        <w:tc>
          <w:tcPr>
            <w:tcW w:w="1980" w:type="dxa"/>
            <w:gridSpan w:val="2"/>
            <w:vAlign w:val="center"/>
          </w:tcPr>
          <w:p>
            <w:r/>
          </w:p>
        </w:tc>
        <w:tc>
          <w:tcPr>
            <w:tcW w:w="1408" w:type="dxa"/>
            <w:gridSpan w:val="2"/>
            <w:vAlign w:val="center"/>
          </w:tcPr>
          <w:p>
            <w:r/>
          </w:p>
        </w:tc>
      </w:tr>
      <w:tr w:rsidR="009967D1" w14:paraId="3E0E16B1" w14:textId="77777777">
        <w:trPr>
          <w:trHeight w:val="432"/>
          <w:jc w:val="center"/>
        </w:trPr>
        <w:tc>
          <w:tcPr>
            <w:tcW w:w="1150" w:type="dxa"/>
            <w:vAlign w:val="center"/>
          </w:tcPr>
          <w:p>
            <w:r>
              <w:t>D-Dimer</w:t>
            </w:r>
          </w:p>
        </w:tc>
        <w:tc>
          <w:tcPr>
            <w:tcW w:w="2536" w:type="dxa"/>
            <w:gridSpan w:val="2"/>
            <w:vAlign w:val="center"/>
          </w:tcPr>
          <w:p>
            <w:r>
              <w:t>FDP D-Dimer</w:t>
            </w:r>
          </w:p>
        </w:tc>
        <w:tc>
          <w:tcPr>
            <w:tcW w:w="1754" w:type="dxa"/>
            <w:gridSpan w:val="2"/>
            <w:vAlign w:val="center"/>
          </w:tcPr>
          <w:p>
            <w:r/>
          </w:p>
        </w:tc>
        <w:tc>
          <w:tcPr>
            <w:tcW w:w="825" w:type="dxa"/>
            <w:gridSpan w:val="2"/>
            <w:vAlign w:val="center"/>
          </w:tcPr>
          <w:p>
            <w:r/>
          </w:p>
        </w:tc>
        <w:tc>
          <w:tcPr>
            <w:tcW w:w="1980" w:type="dxa"/>
            <w:gridSpan w:val="2"/>
            <w:vAlign w:val="center"/>
          </w:tcPr>
          <w:p>
            <w:r/>
          </w:p>
        </w:tc>
        <w:tc>
          <w:tcPr>
            <w:tcW w:w="1408" w:type="dxa"/>
            <w:gridSpan w:val="2"/>
            <w:vAlign w:val="center"/>
          </w:tcPr>
          <w:p>
            <w:r/>
          </w:p>
        </w:tc>
      </w:tr>
    </w:tbl>
    <w:p w14:paraId="594B717D" w14:textId="77777777" w:rsidR="009967D1" w:rsidRDefault="009967D1" w:rsidP="004619DA">
      <w:pPr>
        <w:pStyle w:val="0"/>
      </w:pPr>
    </w:p>
    <w:p w14:paraId="3E4DB4E8"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D9F6E82" w14:textId="77777777">
        <w:trPr>
          <w:trHeight w:hRule="exact" w:val="113"/>
          <w:jc w:val="center"/>
        </w:trPr>
        <w:tc>
          <w:tcPr>
            <w:tcW w:w="1560" w:type="dxa"/>
            <w:gridSpan w:val="2"/>
            <w:tcBorders>
              <w:top w:val="single" w:sz="4" w:space="0" w:color="auto"/>
            </w:tcBorders>
            <w:vAlign w:val="center"/>
          </w:tcPr>
          <w:p w14:paraId="462202B8"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1CF2FE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46D695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46EFFD5"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1593DF6"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7AAC6F4" w14:textId="77777777" w:rsidR="009967D1" w:rsidRDefault="009967D1">
            <w:pPr>
              <w:spacing w:line="300" w:lineRule="exact"/>
              <w:jc w:val="right"/>
              <w:rPr>
                <w:color w:val="323E4F" w:themeColor="text2" w:themeShade="BF"/>
                <w:sz w:val="2"/>
                <w:szCs w:val="2"/>
              </w:rPr>
            </w:pPr>
          </w:p>
        </w:tc>
      </w:tr>
      <w:tr w:rsidR="009967D1" w14:paraId="1B8423BA" w14:textId="77777777">
        <w:trPr>
          <w:trHeight w:val="432"/>
          <w:jc w:val="center"/>
        </w:trPr>
        <w:tc>
          <w:tcPr>
            <w:tcW w:w="1150" w:type="dxa"/>
            <w:vAlign w:val="center"/>
          </w:tcPr>
          <w:p w14:paraId="785F5DCB" w14:textId="77777777" w:rsidR="009967D1" w:rsidRDefault="0080134E">
            <w:pPr>
              <w:spacing w:line="400" w:lineRule="exact"/>
              <w:jc w:val="center"/>
              <w:rPr>
                <w:b/>
                <w:bCs/>
                <w:color w:val="000000" w:themeColor="text1"/>
                <w:sz w:val="24"/>
              </w:rPr>
            </w:pPr>
            <w:r>
              <w:rPr>
                <w:rFonts w:hint="eastAsia"/>
                <w:b/>
                <w:bCs/>
                <w:color w:val="000000" w:themeColor="text1"/>
                <w:sz w:val="24"/>
              </w:rPr>
              <w:t>APTT</w:t>
            </w:r>
          </w:p>
        </w:tc>
        <w:tc>
          <w:tcPr>
            <w:tcW w:w="2536" w:type="dxa"/>
            <w:gridSpan w:val="2"/>
            <w:vAlign w:val="center"/>
          </w:tcPr>
          <w:p w14:paraId="7D9E3C83" w14:textId="77777777" w:rsidR="009967D1" w:rsidRDefault="0080134E">
            <w:pPr>
              <w:spacing w:line="400" w:lineRule="exact"/>
              <w:jc w:val="center"/>
              <w:rPr>
                <w:b/>
                <w:bCs/>
                <w:color w:val="000000" w:themeColor="text1"/>
                <w:sz w:val="24"/>
              </w:rPr>
            </w:pPr>
            <w:r>
              <w:rPr>
                <w:rFonts w:hint="eastAsia"/>
                <w:b/>
                <w:bCs/>
                <w:color w:val="000000" w:themeColor="text1"/>
                <w:sz w:val="24"/>
              </w:rPr>
              <w:t>活化部分凝血活酶时间</w:t>
            </w:r>
          </w:p>
        </w:tc>
        <w:tc>
          <w:tcPr>
            <w:tcW w:w="1754" w:type="dxa"/>
            <w:gridSpan w:val="2"/>
            <w:vAlign w:val="center"/>
          </w:tcPr>
          <w:p>
            <w:r>
              <w:t>{{APTT_result}}</w:t>
            </w:r>
          </w:p>
        </w:tc>
        <w:tc>
          <w:tcPr>
            <w:tcW w:w="825" w:type="dxa"/>
            <w:gridSpan w:val="2"/>
            <w:vAlign w:val="center"/>
          </w:tcPr>
          <w:p>
            <w:r>
              <w:t>{{APTT_point}}</w:t>
            </w:r>
          </w:p>
        </w:tc>
        <w:tc>
          <w:tcPr>
            <w:tcW w:w="1980" w:type="dxa"/>
            <w:gridSpan w:val="2"/>
            <w:vAlign w:val="center"/>
          </w:tcPr>
          <w:p>
            <w:r>
              <w:t>{{APTT_refer}}</w:t>
            </w:r>
          </w:p>
        </w:tc>
        <w:tc>
          <w:tcPr>
            <w:tcW w:w="1408" w:type="dxa"/>
            <w:gridSpan w:val="2"/>
            <w:vAlign w:val="center"/>
          </w:tcPr>
          <w:p>
            <w:r>
              <w:t>{{APTT_unit}}</w:t>
            </w:r>
          </w:p>
        </w:tc>
      </w:tr>
      <w:tr w:rsidR="009967D1" w14:paraId="7C46D044" w14:textId="77777777">
        <w:trPr>
          <w:trHeight w:val="1651"/>
          <w:jc w:val="center"/>
        </w:trPr>
        <w:tc>
          <w:tcPr>
            <w:tcW w:w="9653" w:type="dxa"/>
            <w:gridSpan w:val="11"/>
            <w:vAlign w:val="center"/>
          </w:tcPr>
          <w:p w14:paraId="375B4AF2" w14:textId="77777777" w:rsidR="009967D1" w:rsidRDefault="009967D1"/>
          <w:p w14:paraId="4456FE7B" w14:textId="77777777" w:rsidR="009967D1" w:rsidRDefault="0080134E">
            <w:r>
              <w:rPr>
                <w:b/>
                <w:bCs/>
              </w:rPr>
              <w:t>Clinical Significance:</w:t>
            </w:r>
            <w:r>
              <w:t xml:space="preserve"> Reflects the function of the intrinsic coagulation pathway and the common coagulation pathway, used to diagnose hemophilia (deficiency of intrinsic coagulation factors), evaluate liver disease, monitor heparin therapy, etc. The normal range is 30 - 45 seconds, and more than 10 seconds longer than the normal control is significant.</w:t>
            </w:r>
          </w:p>
          <w:p w14:paraId="586D82FC" w14:textId="77777777" w:rsidR="009967D1" w:rsidRDefault="0080134E">
            <w:r>
              <w:rPr>
                <w:b/>
                <w:bCs/>
              </w:rPr>
              <w:t>临床意义：</w:t>
            </w:r>
            <w:r>
              <w:t>反映内源性凝血途径及共同凝血途径的功能，用于诊断血友病（内源性凝血因子缺乏）、评估肝病、监测肝素治疗等，正常30-45秒，超过正常对照10秒有意义。</w:t>
            </w:r>
          </w:p>
        </w:tc>
      </w:tr>
      <w:tr>
        <w:tc>
          <w:tcPr>
            <w:tcW w:type="dxa" w:w="1150"/>
          </w:tcPr>
          <w:p>
            <w:r>
              <w:t>ALB</w:t>
            </w:r>
          </w:p>
        </w:tc>
        <w:tc>
          <w:tcPr>
            <w:tcW w:type="dxa" w:w="410"/>
          </w:tcPr>
          <w:p>
            <w:r>
              <w:t>Albumir</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r>
        <w:tc>
          <w:tcPr>
            <w:tcW w:type="dxa" w:w="1150"/>
          </w:tcPr>
          <w:p>
            <w:r>
              <w:t>GLB</w:t>
            </w:r>
          </w:p>
        </w:tc>
        <w:tc>
          <w:tcPr>
            <w:tcW w:type="dxa" w:w="410"/>
          </w:tcPr>
          <w:p>
            <w:r>
              <w:t>Globulin</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bl>
    <w:p w14:paraId="43B0AEEC" w14:textId="77777777" w:rsidR="009967D1" w:rsidRDefault="009967D1" w:rsidP="004619DA">
      <w:pPr>
        <w:pStyle w:val="0"/>
      </w:pPr>
    </w:p>
    <w:p w14:paraId="6C33751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F982AC7" w14:textId="77777777">
        <w:trPr>
          <w:trHeight w:hRule="exact" w:val="113"/>
          <w:jc w:val="center"/>
        </w:trPr>
        <w:tc>
          <w:tcPr>
            <w:tcW w:w="1560" w:type="dxa"/>
            <w:gridSpan w:val="2"/>
            <w:tcBorders>
              <w:top w:val="single" w:sz="4" w:space="0" w:color="auto"/>
            </w:tcBorders>
            <w:vAlign w:val="center"/>
          </w:tcPr>
          <w:p w14:paraId="0D1EE52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549795B"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EC18BC0"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21B099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24C7CBD"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B5A3B0D" w14:textId="77777777" w:rsidR="009967D1" w:rsidRDefault="009967D1">
            <w:pPr>
              <w:spacing w:line="300" w:lineRule="exact"/>
              <w:jc w:val="right"/>
              <w:rPr>
                <w:color w:val="323E4F" w:themeColor="text2" w:themeShade="BF"/>
                <w:sz w:val="2"/>
                <w:szCs w:val="2"/>
              </w:rPr>
            </w:pPr>
          </w:p>
        </w:tc>
      </w:tr>
      <w:tr w:rsidR="009967D1" w14:paraId="245D9B56" w14:textId="77777777">
        <w:trPr>
          <w:trHeight w:val="432"/>
          <w:jc w:val="center"/>
        </w:trPr>
        <w:tc>
          <w:tcPr>
            <w:tcW w:w="1150" w:type="dxa"/>
            <w:vAlign w:val="center"/>
          </w:tcPr>
          <w:p w14:paraId="4BADF1F4" w14:textId="77777777" w:rsidR="009967D1" w:rsidRDefault="0080134E">
            <w:pPr>
              <w:spacing w:line="400" w:lineRule="exact"/>
              <w:jc w:val="center"/>
              <w:rPr>
                <w:b/>
                <w:bCs/>
                <w:color w:val="000000" w:themeColor="text1"/>
                <w:sz w:val="24"/>
              </w:rPr>
            </w:pPr>
            <w:r>
              <w:rPr>
                <w:rFonts w:hint="eastAsia"/>
                <w:b/>
                <w:bCs/>
                <w:color w:val="000000" w:themeColor="text1"/>
                <w:sz w:val="24"/>
              </w:rPr>
              <w:t>TT</w:t>
            </w:r>
          </w:p>
        </w:tc>
        <w:tc>
          <w:tcPr>
            <w:tcW w:w="2536" w:type="dxa"/>
            <w:gridSpan w:val="2"/>
            <w:vAlign w:val="center"/>
          </w:tcPr>
          <w:p w14:paraId="6B27F96D" w14:textId="77777777" w:rsidR="009967D1" w:rsidRDefault="0080134E">
            <w:pPr>
              <w:spacing w:line="400" w:lineRule="exact"/>
              <w:jc w:val="center"/>
              <w:rPr>
                <w:b/>
                <w:bCs/>
                <w:color w:val="000000" w:themeColor="text1"/>
                <w:sz w:val="24"/>
              </w:rPr>
            </w:pPr>
            <w:r>
              <w:rPr>
                <w:rFonts w:hint="eastAsia"/>
                <w:b/>
                <w:bCs/>
                <w:color w:val="000000" w:themeColor="text1"/>
                <w:sz w:val="24"/>
              </w:rPr>
              <w:t>凝血酶时间</w:t>
            </w:r>
          </w:p>
        </w:tc>
        <w:tc>
          <w:tcPr>
            <w:tcW w:w="1754" w:type="dxa"/>
            <w:gridSpan w:val="2"/>
            <w:vAlign w:val="center"/>
          </w:tcPr>
          <w:p>
            <w:r>
              <w:t>{{TT_result}}</w:t>
            </w:r>
          </w:p>
        </w:tc>
        <w:tc>
          <w:tcPr>
            <w:tcW w:w="825" w:type="dxa"/>
            <w:gridSpan w:val="2"/>
            <w:vAlign w:val="center"/>
          </w:tcPr>
          <w:p>
            <w:r>
              <w:t>{{TT_point}}</w:t>
            </w:r>
          </w:p>
        </w:tc>
        <w:tc>
          <w:tcPr>
            <w:tcW w:w="1980" w:type="dxa"/>
            <w:gridSpan w:val="2"/>
            <w:vAlign w:val="center"/>
          </w:tcPr>
          <w:p>
            <w:r>
              <w:t>{{TT_refer}}</w:t>
            </w:r>
          </w:p>
        </w:tc>
        <w:tc>
          <w:tcPr>
            <w:tcW w:w="1408" w:type="dxa"/>
            <w:gridSpan w:val="2"/>
            <w:vAlign w:val="center"/>
          </w:tcPr>
          <w:p>
            <w:r>
              <w:t>{{TT_unit}}</w:t>
            </w:r>
          </w:p>
        </w:tc>
      </w:tr>
      <w:tr w:rsidR="009967D1" w14:paraId="7C83B83F" w14:textId="77777777">
        <w:trPr>
          <w:trHeight w:val="1651"/>
          <w:jc w:val="center"/>
        </w:trPr>
        <w:tc>
          <w:tcPr>
            <w:tcW w:w="9653" w:type="dxa"/>
            <w:gridSpan w:val="11"/>
            <w:vAlign w:val="center"/>
          </w:tcPr>
          <w:p w14:paraId="361CF77A" w14:textId="77777777" w:rsidR="009967D1" w:rsidRDefault="009967D1"/>
          <w:p w14:paraId="104ED6DE" w14:textId="77777777" w:rsidR="009967D1" w:rsidRDefault="0080134E">
            <w:r>
              <w:rPr>
                <w:b/>
                <w:bCs/>
              </w:rPr>
              <w:t>Clinical Significance:</w:t>
            </w:r>
            <w:r>
              <w:t xml:space="preserve"> Reflects the process of converting fibrinogen into fibrin, affected by fibrinogen content, structure, and anticoagulants in the blood. The normal range is 16 - 18 seconds, and more than 3 seconds longer than the normal control is significant.</w:t>
            </w:r>
          </w:p>
          <w:p w14:paraId="3B95CA6E" w14:textId="77777777" w:rsidR="009967D1" w:rsidRDefault="0080134E">
            <w:r>
              <w:rPr>
                <w:b/>
                <w:bCs/>
              </w:rPr>
              <w:t>临床意义：</w:t>
            </w:r>
            <w:r>
              <w:t>反映纤维蛋白原转化为纤维蛋白的过程，受纤维蛋白原含量、结构及血液中抗凝物质影响，正常16-18秒，超过正常对照3秒有意义。</w:t>
            </w:r>
          </w:p>
        </w:tc>
      </w:tr>
    </w:tbl>
    <w:p w14:paraId="6440445E" w14:textId="77777777" w:rsidR="009967D1" w:rsidRDefault="009967D1" w:rsidP="004619DA">
      <w:pPr>
        <w:pStyle w:val="0"/>
      </w:pPr>
    </w:p>
    <w:p w14:paraId="108BB12E"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B4696A0" w14:textId="77777777">
        <w:trPr>
          <w:trHeight w:hRule="exact" w:val="113"/>
          <w:jc w:val="center"/>
        </w:trPr>
        <w:tc>
          <w:tcPr>
            <w:tcW w:w="1560" w:type="dxa"/>
            <w:gridSpan w:val="2"/>
            <w:tcBorders>
              <w:top w:val="single" w:sz="4" w:space="0" w:color="auto"/>
            </w:tcBorders>
            <w:vAlign w:val="center"/>
          </w:tcPr>
          <w:p w14:paraId="5A18DBD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6B5E44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B033B3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6040C3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45491C3"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B68B723" w14:textId="77777777" w:rsidR="009967D1" w:rsidRDefault="009967D1">
            <w:pPr>
              <w:spacing w:line="300" w:lineRule="exact"/>
              <w:jc w:val="right"/>
              <w:rPr>
                <w:color w:val="323E4F" w:themeColor="text2" w:themeShade="BF"/>
                <w:sz w:val="2"/>
                <w:szCs w:val="2"/>
              </w:rPr>
            </w:pPr>
          </w:p>
        </w:tc>
      </w:tr>
      <w:tr w:rsidR="009967D1" w14:paraId="412C0EE2" w14:textId="77777777">
        <w:trPr>
          <w:trHeight w:val="432"/>
          <w:jc w:val="center"/>
        </w:trPr>
        <w:tc>
          <w:tcPr>
            <w:tcW w:w="1150" w:type="dxa"/>
            <w:vAlign w:val="center"/>
          </w:tcPr>
          <w:p w14:paraId="0E0D5AF5" w14:textId="77777777" w:rsidR="009967D1" w:rsidRDefault="0080134E">
            <w:pPr>
              <w:spacing w:line="400" w:lineRule="exact"/>
              <w:jc w:val="center"/>
              <w:rPr>
                <w:b/>
                <w:bCs/>
                <w:color w:val="000000" w:themeColor="text1"/>
                <w:sz w:val="24"/>
              </w:rPr>
            </w:pPr>
            <w:r>
              <w:rPr>
                <w:rFonts w:hint="eastAsia"/>
                <w:b/>
                <w:bCs/>
                <w:color w:val="000000" w:themeColor="text1"/>
                <w:sz w:val="24"/>
              </w:rPr>
              <w:t>FIB</w:t>
            </w:r>
          </w:p>
        </w:tc>
        <w:tc>
          <w:tcPr>
            <w:tcW w:w="2536" w:type="dxa"/>
            <w:gridSpan w:val="2"/>
            <w:vAlign w:val="center"/>
          </w:tcPr>
          <w:p w14:paraId="316732F6" w14:textId="77777777" w:rsidR="009967D1" w:rsidRDefault="0080134E">
            <w:pPr>
              <w:spacing w:line="400" w:lineRule="exact"/>
              <w:jc w:val="center"/>
              <w:rPr>
                <w:b/>
                <w:bCs/>
                <w:color w:val="000000" w:themeColor="text1"/>
                <w:sz w:val="24"/>
              </w:rPr>
            </w:pPr>
            <w:r>
              <w:rPr>
                <w:rFonts w:hint="eastAsia"/>
                <w:b/>
                <w:bCs/>
                <w:color w:val="000000" w:themeColor="text1"/>
                <w:sz w:val="24"/>
              </w:rPr>
              <w:t>纤维蛋白原</w:t>
            </w:r>
          </w:p>
        </w:tc>
        <w:tc>
          <w:tcPr>
            <w:tcW w:w="1754" w:type="dxa"/>
            <w:gridSpan w:val="2"/>
            <w:vAlign w:val="center"/>
          </w:tcPr>
          <w:p>
            <w:r>
              <w:t>{{FIB_result}}</w:t>
            </w:r>
          </w:p>
        </w:tc>
        <w:tc>
          <w:tcPr>
            <w:tcW w:w="825" w:type="dxa"/>
            <w:gridSpan w:val="2"/>
            <w:vAlign w:val="center"/>
          </w:tcPr>
          <w:p>
            <w:r>
              <w:t>{{FIB_point}}</w:t>
            </w:r>
          </w:p>
        </w:tc>
        <w:tc>
          <w:tcPr>
            <w:tcW w:w="1980" w:type="dxa"/>
            <w:gridSpan w:val="2"/>
            <w:vAlign w:val="center"/>
          </w:tcPr>
          <w:p>
            <w:r>
              <w:t>{{FIB_refer}}</w:t>
            </w:r>
          </w:p>
        </w:tc>
        <w:tc>
          <w:tcPr>
            <w:tcW w:w="1408" w:type="dxa"/>
            <w:gridSpan w:val="2"/>
            <w:vAlign w:val="center"/>
          </w:tcPr>
          <w:p>
            <w:r>
              <w:t>{{FIB_unit}}</w:t>
            </w:r>
          </w:p>
        </w:tc>
      </w:tr>
      <w:tr w:rsidR="009967D1" w14:paraId="0B1DBABB" w14:textId="77777777">
        <w:trPr>
          <w:trHeight w:val="1651"/>
          <w:jc w:val="center"/>
        </w:trPr>
        <w:tc>
          <w:tcPr>
            <w:tcW w:w="9653" w:type="dxa"/>
            <w:gridSpan w:val="11"/>
            <w:vAlign w:val="center"/>
          </w:tcPr>
          <w:p w14:paraId="5243CE77" w14:textId="77777777" w:rsidR="009967D1" w:rsidRDefault="009967D1"/>
          <w:p w14:paraId="0E548752" w14:textId="77777777" w:rsidR="009967D1" w:rsidRDefault="0080134E">
            <w:r>
              <w:rPr>
                <w:b/>
                <w:bCs/>
              </w:rPr>
              <w:t>Clinical Significance:</w:t>
            </w:r>
            <w:r>
              <w:t xml:space="preserve"> It is a cross - linked fibrin degradation product, reflecting the body's coagulation and fibrinolytic activity, used to diagnose thrombotic diseases such as DIC, deep vein thrombosis, and pulmonary embolism. The normal reference value is generally &lt; 0.5mg/L (ELISA method), and there are differences in different detection methods.</w:t>
            </w:r>
          </w:p>
          <w:p w14:paraId="5BD81154" w14:textId="77777777" w:rsidR="009967D1" w:rsidRDefault="0080134E">
            <w:r>
              <w:rPr>
                <w:b/>
                <w:bCs/>
              </w:rPr>
              <w:t>临床意义：</w:t>
            </w:r>
            <w:r>
              <w:t>是交联纤维蛋白降解产物，反映体内凝血和纤溶活性，用于诊断DIC、深静脉血栓、肺栓塞等血栓性疾病，正常参考值一般＜0.5mg/L（ELISA法），不同检测方法有差异。</w:t>
            </w:r>
          </w:p>
        </w:tc>
      </w:tr>
    </w:tbl>
    <w:p w14:paraId="0E914B0A" w14:textId="77777777" w:rsidR="009967D1" w:rsidRDefault="009967D1">
      <w:pPr>
        <w:jc w:val="center"/>
        <w:rPr>
          <w:b/>
          <w:bCs/>
          <w:color w:val="323E4F" w:themeColor="text2" w:themeShade="BF"/>
          <w:sz w:val="36"/>
          <w:szCs w:val="36"/>
        </w:rPr>
        <w:sectPr w:rsidR="009967D1">
          <w:pgSz w:w="11901" w:h="16817"/>
          <w:pgMar w:top="1418" w:right="1134" w:bottom="1021" w:left="1191" w:header="851" w:footer="992" w:gutter="0"/>
          <w:cols w:space="425"/>
          <w:docGrid w:linePitch="312"/>
        </w:sectPr>
      </w:pPr>
    </w:p>
    <w:p w14:paraId="7B54F209" w14:textId="63C08779" w:rsidR="00F40976" w:rsidRPr="00F40976" w:rsidRDefault="004F05BD" w:rsidP="004F05BD">
      <w:pPr>
        <w:pStyle w:val="3-"/>
        <w:spacing w:beforeLines="0" w:before="0"/>
      </w:pPr>
      <w:r w:rsidRPr="004F05BD">
        <w:lastRenderedPageBreak/>
        <w:t>Four Infectious Diseases</w:t>
      </w:r>
      <w:r>
        <w:br/>
      </w:r>
      <w:r>
        <w:rPr>
          <w:rFonts w:hint="eastAsia"/>
        </w:rPr>
        <w:t>传染病四项</w:t>
      </w:r>
    </w:p>
    <w:p w14:paraId="167CA178" w14:textId="421B8F68" w:rsidR="00F40976" w:rsidRDefault="00F40976" w:rsidP="00F40976">
      <w:pPr>
        <w:pStyle w:val="00"/>
      </w:pPr>
      <w:r w:rsidRPr="00F40976">
        <w:t>The “Four Infectious Diseases” panel is a critical component of clinical examinations and health management. It primarily screens for Human Immunodeficiency Virus (HIV), Syphilis, Hepatitis B Virus (HBV), and Hepatitis C Virus (HCV)—all of which are common infectious diseases with significant health. These infections can be transmitted via blood, sexual contact, and mother-to-child transmission, making systematic testing essential for early detection, controlling transmission, and safeguarding the health of families and partners.</w:t>
      </w:r>
    </w:p>
    <w:p w14:paraId="2E1407DC" w14:textId="36A70FF2" w:rsidR="00F40976" w:rsidRDefault="00F40976" w:rsidP="00F40976">
      <w:pPr>
        <w:pStyle w:val="0"/>
      </w:pPr>
      <w:r>
        <w:t>传染病四项检测是临床体检和健康管理中极为重要的筛查项目，主要涵盖艾滋病病毒（</w:t>
      </w:r>
      <w:r>
        <w:t>HIV</w:t>
      </w:r>
      <w:r>
        <w:t>）、梅毒（</w:t>
      </w:r>
      <w:r>
        <w:t>Syphilis</w:t>
      </w:r>
      <w:r>
        <w:t>）、乙型肝炎（</w:t>
      </w:r>
      <w:r>
        <w:t>HBV</w:t>
      </w:r>
      <w:r>
        <w:t>）和丙型肝炎（</w:t>
      </w:r>
      <w:r>
        <w:t>HCV</w:t>
      </w:r>
      <w:r>
        <w:t>）</w:t>
      </w:r>
      <w:r>
        <w:rPr>
          <w:rFonts w:hint="eastAsia"/>
        </w:rPr>
        <w:t>四项</w:t>
      </w:r>
      <w:r>
        <w:t>传染病。这些疾病均可通过血液、性传播及母婴传播等途径扩散。因此，系统化的传染病检测在疾病早期发现、控制传播、保护家人及伴侣健康方面具有不可替代的意义。</w:t>
      </w:r>
    </w:p>
    <w:p w14:paraId="517E60F5" w14:textId="2D2A26F2" w:rsidR="00F40976" w:rsidRDefault="00F40976" w:rsidP="00F40976">
      <w:pPr>
        <w:pStyle w:val="00"/>
      </w:pPr>
      <w:r w:rsidRPr="00F40976">
        <w:t>From a clinical perspective, infectious disease testing is the foundation of infection screening and diagnosis. For example, HIV antibody testing remains central to the diagnosis and follow-up of HIV infection; serological testing for syphilis (TRUST and TPPA) helps distinguish recent infection from past exposure; the HBV marker panel (HBsAg, HBsAb, HBeAg, HBeAb, HBcAb) not only identifies infection but also differentiates between carrier status, infectivity, and immune protection; HCV antibody testing aids in detecting early or asymptomatic infections that could otherwise progress to cirrhosis or hepatocellular carcinoma.</w:t>
      </w:r>
    </w:p>
    <w:p w14:paraId="785A6F44" w14:textId="77777777" w:rsidR="00F40976" w:rsidRDefault="00F40976" w:rsidP="00F40976">
      <w:pPr>
        <w:pStyle w:val="0"/>
      </w:pPr>
      <w:r>
        <w:t>在临床价值上，传染病检测首先是感染筛查与确诊的基础。例如，</w:t>
      </w:r>
      <w:r>
        <w:t>HIV</w:t>
      </w:r>
      <w:r>
        <w:t>抗体检测是艾滋病诊断和随访的核心；梅毒血清学检测（</w:t>
      </w:r>
      <w:r>
        <w:t>TRUST</w:t>
      </w:r>
      <w:r>
        <w:t>与</w:t>
      </w:r>
      <w:r>
        <w:t>TPPA</w:t>
      </w:r>
      <w:r>
        <w:t>）可以判断是近期感染还是既往感染；乙肝系列标志物（</w:t>
      </w:r>
      <w:r>
        <w:t>HBsAg</w:t>
      </w:r>
      <w:r>
        <w:t>、</w:t>
      </w:r>
      <w:r>
        <w:t>HBsAb</w:t>
      </w:r>
      <w:r>
        <w:t>、</w:t>
      </w:r>
      <w:r>
        <w:t>HBeAg</w:t>
      </w:r>
      <w:r>
        <w:t>、</w:t>
      </w:r>
      <w:r>
        <w:t>HBeAb</w:t>
      </w:r>
      <w:r>
        <w:t>、</w:t>
      </w:r>
      <w:r>
        <w:t>HBcAb</w:t>
      </w:r>
      <w:r>
        <w:t>）不仅帮助判断个体是否感染，还能区分携带状态、是否具有传染性以及免疫保护情况；丙型肝炎抗体检测则有助于发现早期隐匿性感染，防止发展为肝硬化或肝癌。</w:t>
      </w:r>
    </w:p>
    <w:p w14:paraId="406B82DB" w14:textId="056063F1" w:rsidR="00F40976" w:rsidRDefault="00F40976" w:rsidP="00F40976">
      <w:pPr>
        <w:pStyle w:val="00"/>
      </w:pPr>
      <w:r w:rsidRPr="00F40976">
        <w:t>In preventive healthcare, the “Four Infectious Diseases” panel is indispensable for high-risk populations (e.g., couples planning pregnancy, surgical patients, blood donors) and forms a standard part of health checkups and occupational screenings. Early identification and intervention not only help eliminate sources of infection but also prevent disease progression and complications. On an individual level, such testing serves as a cornerstone for long-term health and quality of life.</w:t>
      </w:r>
    </w:p>
    <w:p w14:paraId="7787EED6" w14:textId="77777777" w:rsidR="00F40976" w:rsidRDefault="00F40976" w:rsidP="00F40976">
      <w:pPr>
        <w:pStyle w:val="0"/>
      </w:pPr>
      <w:r>
        <w:t>在健康管理中，传染病四项检测不仅用于高危人群的筛查（如备孕夫妇、手术患者、献血者），也是健康体检、职业体检的必备项目。通过早期识别与干预，不仅能有效阻断传染源，还能避免疾病进展和并发症发生。对个人而言，这类检测也是长期健康与生活质量的重要保障。</w:t>
      </w:r>
    </w:p>
    <w:p w14:paraId="656E792E" w14:textId="77777777" w:rsidR="009E1205" w:rsidRDefault="009E1205" w:rsidP="00F40976">
      <w:pPr>
        <w:pStyle w:val="0"/>
      </w:pPr>
    </w:p>
    <w:p w14:paraId="724F9CD5" w14:textId="6E95E3C2" w:rsidR="009E1205" w:rsidRDefault="009E1205" w:rsidP="00F40976">
      <w:pPr>
        <w:pStyle w:val="0"/>
      </w:pPr>
      <w:r w:rsidRPr="009E1205">
        <w:rPr>
          <w:noProof/>
        </w:rPr>
        <w:drawing>
          <wp:anchor distT="0" distB="0" distL="114300" distR="114300" simplePos="0" relativeHeight="251674624" behindDoc="0" locked="0" layoutInCell="1" allowOverlap="1" wp14:anchorId="074F80B1" wp14:editId="1008B97B">
            <wp:simplePos x="0" y="0"/>
            <wp:positionH relativeFrom="column">
              <wp:posOffset>0</wp:posOffset>
            </wp:positionH>
            <wp:positionV relativeFrom="paragraph">
              <wp:posOffset>-635</wp:posOffset>
            </wp:positionV>
            <wp:extent cx="6080125" cy="1706245"/>
            <wp:effectExtent l="0" t="0" r="3175" b="0"/>
            <wp:wrapNone/>
            <wp:docPr id="6168554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612971" name="图片 1"/>
                    <pic:cNvPicPr/>
                  </pic:nvPicPr>
                  <pic:blipFill rotWithShape="1">
                    <a:blip r:embed="rId19">
                      <a:extLst>
                        <a:ext uri="{28A0092B-C50C-407E-A947-70E740481C1C}">
                          <a14:useLocalDpi xmlns:a14="http://schemas.microsoft.com/office/drawing/2010/main" val="0"/>
                        </a:ext>
                      </a:extLst>
                    </a:blip>
                    <a:srcRect t="21417" b="36535"/>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D9E92AF" w14:textId="77777777" w:rsidR="009967D1" w:rsidRDefault="0080134E">
      <w:pPr>
        <w:widowControl/>
        <w:jc w:val="left"/>
      </w:pPr>
      <w:r>
        <w:br w:type="page"/>
      </w:r>
    </w:p>
    <w:p w14:paraId="176DF4BB"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9CC83DB" w14:textId="77777777">
        <w:trPr>
          <w:trHeight w:val="839"/>
          <w:jc w:val="center"/>
        </w:trPr>
        <w:tc>
          <w:tcPr>
            <w:tcW w:w="1150" w:type="dxa"/>
            <w:tcBorders>
              <w:top w:val="single" w:sz="4" w:space="0" w:color="auto"/>
              <w:bottom w:val="single" w:sz="4" w:space="0" w:color="auto"/>
            </w:tcBorders>
            <w:vAlign w:val="center"/>
          </w:tcPr>
          <w:p w14:paraId="70526367"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23BC4C79"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09CE8092"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522726DF"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430B1DF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1C8873B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15BF2F0E" w14:textId="77777777">
        <w:trPr>
          <w:trHeight w:val="1111"/>
          <w:jc w:val="center"/>
        </w:trPr>
        <w:tc>
          <w:tcPr>
            <w:tcW w:w="9653" w:type="dxa"/>
            <w:gridSpan w:val="11"/>
            <w:tcBorders>
              <w:top w:val="single" w:sz="4" w:space="0" w:color="auto"/>
              <w:bottom w:val="single" w:sz="4" w:space="0" w:color="auto"/>
            </w:tcBorders>
            <w:vAlign w:val="center"/>
          </w:tcPr>
          <w:p w14:paraId="75EB47DD" w14:textId="5ABC28CC"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Four </w:t>
            </w:r>
            <w:r w:rsidR="006C51B8">
              <w:rPr>
                <w:rFonts w:hint="eastAsia"/>
                <w:b/>
                <w:bCs/>
                <w:color w:val="323E4F" w:themeColor="text2" w:themeShade="BF"/>
                <w:sz w:val="32"/>
                <w:szCs w:val="32"/>
              </w:rPr>
              <w:t>I</w:t>
            </w:r>
            <w:r>
              <w:rPr>
                <w:rFonts w:hint="eastAsia"/>
                <w:b/>
                <w:bCs/>
                <w:color w:val="323E4F" w:themeColor="text2" w:themeShade="BF"/>
                <w:sz w:val="32"/>
                <w:szCs w:val="32"/>
              </w:rPr>
              <w:t xml:space="preserve">nfectious </w:t>
            </w:r>
            <w:r w:rsidR="006C51B8">
              <w:rPr>
                <w:rFonts w:hint="eastAsia"/>
                <w:b/>
                <w:bCs/>
                <w:color w:val="323E4F" w:themeColor="text2" w:themeShade="BF"/>
                <w:sz w:val="32"/>
                <w:szCs w:val="32"/>
              </w:rPr>
              <w:t>D</w:t>
            </w:r>
            <w:r>
              <w:rPr>
                <w:rFonts w:hint="eastAsia"/>
                <w:b/>
                <w:bCs/>
                <w:color w:val="323E4F" w:themeColor="text2" w:themeShade="BF"/>
                <w:sz w:val="32"/>
                <w:szCs w:val="32"/>
              </w:rPr>
              <w:t>iseases</w:t>
            </w:r>
          </w:p>
          <w:p w14:paraId="5E30EB49"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传染病四项</w:t>
            </w:r>
          </w:p>
        </w:tc>
      </w:tr>
      <w:tr w:rsidR="009967D1" w14:paraId="414FB600" w14:textId="77777777">
        <w:trPr>
          <w:trHeight w:hRule="exact" w:val="113"/>
          <w:jc w:val="center"/>
        </w:trPr>
        <w:tc>
          <w:tcPr>
            <w:tcW w:w="1560" w:type="dxa"/>
            <w:gridSpan w:val="2"/>
            <w:tcBorders>
              <w:top w:val="single" w:sz="4" w:space="0" w:color="auto"/>
            </w:tcBorders>
            <w:vAlign w:val="center"/>
          </w:tcPr>
          <w:p w14:paraId="627CF64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F0061CC"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CB4B9C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C4906D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898AC2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410BDD6" w14:textId="77777777" w:rsidR="009967D1" w:rsidRDefault="009967D1">
            <w:pPr>
              <w:spacing w:line="300" w:lineRule="exact"/>
              <w:jc w:val="right"/>
              <w:rPr>
                <w:color w:val="323E4F" w:themeColor="text2" w:themeShade="BF"/>
                <w:sz w:val="2"/>
                <w:szCs w:val="2"/>
              </w:rPr>
            </w:pPr>
          </w:p>
        </w:tc>
      </w:tr>
      <w:tr w:rsidR="009967D1" w14:paraId="2C355C7D" w14:textId="77777777">
        <w:trPr>
          <w:trHeight w:val="432"/>
          <w:jc w:val="center"/>
        </w:trPr>
        <w:tc>
          <w:tcPr>
            <w:tcW w:w="1150" w:type="dxa"/>
            <w:vAlign w:val="center"/>
          </w:tcPr>
          <w:p w14:paraId="2A05F033" w14:textId="77777777" w:rsidR="009967D1" w:rsidRDefault="0080134E">
            <w:pPr>
              <w:spacing w:line="400" w:lineRule="exact"/>
              <w:jc w:val="center"/>
              <w:rPr>
                <w:b/>
                <w:bCs/>
                <w:color w:val="000000" w:themeColor="text1"/>
                <w:sz w:val="24"/>
              </w:rPr>
            </w:pPr>
            <w:r>
              <w:rPr>
                <w:rFonts w:hint="eastAsia"/>
                <w:b/>
                <w:bCs/>
                <w:color w:val="000000" w:themeColor="text1"/>
                <w:sz w:val="24"/>
              </w:rPr>
              <w:t>HIV</w:t>
            </w:r>
          </w:p>
        </w:tc>
        <w:tc>
          <w:tcPr>
            <w:tcW w:w="2536" w:type="dxa"/>
            <w:gridSpan w:val="2"/>
            <w:vAlign w:val="center"/>
          </w:tcPr>
          <w:p w14:paraId="40DC91F8" w14:textId="77777777" w:rsidR="009967D1" w:rsidRDefault="0080134E">
            <w:pPr>
              <w:spacing w:line="400" w:lineRule="exact"/>
              <w:jc w:val="center"/>
              <w:rPr>
                <w:b/>
                <w:bCs/>
                <w:color w:val="000000" w:themeColor="text1"/>
                <w:sz w:val="24"/>
              </w:rPr>
            </w:pPr>
            <w:r>
              <w:rPr>
                <w:rFonts w:hint="eastAsia"/>
                <w:b/>
                <w:bCs/>
                <w:color w:val="000000" w:themeColor="text1"/>
                <w:sz w:val="24"/>
              </w:rPr>
              <w:t>人类免疫缺陷病毒抗体</w:t>
            </w:r>
          </w:p>
        </w:tc>
        <w:tc>
          <w:tcPr>
            <w:tcW w:w="1754" w:type="dxa"/>
            <w:gridSpan w:val="2"/>
            <w:vAlign w:val="center"/>
          </w:tcPr>
          <w:p>
            <w:r>
              <w:t>{{HIV_result}}</w:t>
            </w:r>
          </w:p>
        </w:tc>
        <w:tc>
          <w:tcPr>
            <w:tcW w:w="825" w:type="dxa"/>
            <w:gridSpan w:val="2"/>
            <w:vAlign w:val="center"/>
          </w:tcPr>
          <w:p>
            <w:r>
              <w:t>{{HIV_point}}</w:t>
            </w:r>
          </w:p>
        </w:tc>
        <w:tc>
          <w:tcPr>
            <w:tcW w:w="1980" w:type="dxa"/>
            <w:gridSpan w:val="2"/>
            <w:vAlign w:val="center"/>
          </w:tcPr>
          <w:p>
            <w:r>
              <w:t>{{HIV_refer}}</w:t>
            </w:r>
          </w:p>
        </w:tc>
        <w:tc>
          <w:tcPr>
            <w:tcW w:w="1408" w:type="dxa"/>
            <w:gridSpan w:val="2"/>
            <w:vAlign w:val="center"/>
          </w:tcPr>
          <w:p>
            <w:r>
              <w:t>{{HIV_unit}}</w:t>
            </w:r>
          </w:p>
        </w:tc>
      </w:tr>
      <w:tr w:rsidR="009967D1" w14:paraId="7D899064" w14:textId="77777777">
        <w:trPr>
          <w:trHeight w:val="1651"/>
          <w:jc w:val="center"/>
        </w:trPr>
        <w:tc>
          <w:tcPr>
            <w:tcW w:w="9653" w:type="dxa"/>
            <w:gridSpan w:val="11"/>
            <w:vAlign w:val="center"/>
          </w:tcPr>
          <w:p w14:paraId="1629F4E4" w14:textId="77777777" w:rsidR="009967D1" w:rsidRDefault="009967D1"/>
          <w:p w14:paraId="62A47B42" w14:textId="77777777" w:rsidR="009967D1" w:rsidRDefault="0080134E">
            <w:r>
              <w:rPr>
                <w:b/>
                <w:bCs/>
              </w:rPr>
              <w:t>Clinical Significance:</w:t>
            </w:r>
            <w:r>
              <w:t xml:space="preserve"> Used for the screening and diagnosis of AIDS (AIDS), to determine whether HIV is infected. It is normally negative.</w:t>
            </w:r>
          </w:p>
          <w:p w14:paraId="5B19882A" w14:textId="77777777" w:rsidR="009967D1" w:rsidRDefault="0080134E">
            <w:r>
              <w:rPr>
                <w:b/>
                <w:bCs/>
              </w:rPr>
              <w:t>临床意义：</w:t>
            </w:r>
            <w:r>
              <w:t>用于艾滋病（AIDS）的筛查、诊断，判断是否感染HIV，正常为阴性。</w:t>
            </w:r>
          </w:p>
        </w:tc>
      </w:tr>
      <w:tr w:rsidR="009967D1" w14:paraId="2C355C7D" w14:textId="77777777">
        <w:trPr>
          <w:trHeight w:val="432"/>
          <w:jc w:val="center"/>
        </w:trPr>
        <w:tc>
          <w:tcPr>
            <w:tcW w:w="1150" w:type="dxa"/>
            <w:vAlign w:val="center"/>
          </w:tcPr>
          <w:p>
            <w:r>
              <w:t>RPR</w:t>
            </w:r>
          </w:p>
        </w:tc>
        <w:tc>
          <w:tcPr>
            <w:tcW w:w="2536" w:type="dxa"/>
            <w:gridSpan w:val="2"/>
            <w:vAlign w:val="center"/>
          </w:tcPr>
          <w:p>
            <w:r>
              <w:t>RPR (Rapid Plasma Reagin)</w:t>
            </w:r>
          </w:p>
        </w:tc>
        <w:tc>
          <w:tcPr>
            <w:tcW w:w="1754" w:type="dxa"/>
            <w:gridSpan w:val="2"/>
            <w:vAlign w:val="center"/>
          </w:tcPr>
          <w:p>
            <w:r/>
          </w:p>
        </w:tc>
        <w:tc>
          <w:tcPr>
            <w:tcW w:w="825" w:type="dxa"/>
            <w:gridSpan w:val="2"/>
            <w:vAlign w:val="center"/>
          </w:tcPr>
          <w:p>
            <w:r/>
          </w:p>
        </w:tc>
        <w:tc>
          <w:tcPr>
            <w:tcW w:w="1980" w:type="dxa"/>
            <w:gridSpan w:val="2"/>
            <w:vAlign w:val="center"/>
          </w:tcPr>
          <w:p>
            <w:r/>
          </w:p>
        </w:tc>
        <w:tc>
          <w:tcPr>
            <w:tcW w:w="1408" w:type="dxa"/>
            <w:gridSpan w:val="2"/>
            <w:vAlign w:val="center"/>
          </w:tcPr>
          <w:p>
            <w:r/>
          </w:p>
        </w:tc>
      </w:tr>
      <w:tr w:rsidR="009967D1" w14:paraId="2C355C7D" w14:textId="77777777">
        <w:trPr>
          <w:trHeight w:val="432"/>
          <w:jc w:val="center"/>
        </w:trPr>
        <w:tc>
          <w:tcPr>
            <w:tcW w:w="1150" w:type="dxa"/>
            <w:vAlign w:val="center"/>
          </w:tcPr>
          <w:p>
            <w:r>
              <w:t>Anti-HCV</w:t>
            </w:r>
          </w:p>
        </w:tc>
        <w:tc>
          <w:tcPr>
            <w:tcW w:w="2536" w:type="dxa"/>
            <w:gridSpan w:val="2"/>
            <w:vAlign w:val="center"/>
          </w:tcPr>
          <w:p>
            <w:r>
              <w:t>HCV Ab (Hepatitis C antibody)</w:t>
            </w:r>
          </w:p>
        </w:tc>
        <w:tc>
          <w:tcPr>
            <w:tcW w:w="1754" w:type="dxa"/>
            <w:gridSpan w:val="2"/>
            <w:vAlign w:val="center"/>
          </w:tcPr>
          <w:p>
            <w:r/>
          </w:p>
        </w:tc>
        <w:tc>
          <w:tcPr>
            <w:tcW w:w="825" w:type="dxa"/>
            <w:gridSpan w:val="2"/>
            <w:vAlign w:val="center"/>
          </w:tcPr>
          <w:p>
            <w:r/>
          </w:p>
        </w:tc>
        <w:tc>
          <w:tcPr>
            <w:tcW w:w="1980" w:type="dxa"/>
            <w:gridSpan w:val="2"/>
            <w:vAlign w:val="center"/>
          </w:tcPr>
          <w:p>
            <w:r/>
          </w:p>
        </w:tc>
        <w:tc>
          <w:tcPr>
            <w:tcW w:w="1408" w:type="dxa"/>
            <w:gridSpan w:val="2"/>
            <w:vAlign w:val="center"/>
          </w:tcPr>
          <w:p>
            <w:r/>
          </w:p>
        </w:tc>
      </w:tr>
    </w:tbl>
    <w:p w14:paraId="21754411" w14:textId="77777777" w:rsidR="009967D1" w:rsidRDefault="009967D1" w:rsidP="004619DA">
      <w:pPr>
        <w:pStyle w:val="0"/>
      </w:pPr>
    </w:p>
    <w:p w14:paraId="2AC0FDB2"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3A936CD" w14:textId="77777777">
        <w:trPr>
          <w:trHeight w:hRule="exact" w:val="113"/>
          <w:jc w:val="center"/>
        </w:trPr>
        <w:tc>
          <w:tcPr>
            <w:tcW w:w="1560" w:type="dxa"/>
            <w:gridSpan w:val="2"/>
            <w:tcBorders>
              <w:top w:val="single" w:sz="4" w:space="0" w:color="auto"/>
            </w:tcBorders>
            <w:vAlign w:val="center"/>
          </w:tcPr>
          <w:p w14:paraId="48D14E0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0AA935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AE3710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274267C"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CF5301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5421841" w14:textId="77777777" w:rsidR="009967D1" w:rsidRDefault="009967D1">
            <w:pPr>
              <w:spacing w:line="300" w:lineRule="exact"/>
              <w:jc w:val="right"/>
              <w:rPr>
                <w:color w:val="323E4F" w:themeColor="text2" w:themeShade="BF"/>
                <w:sz w:val="2"/>
                <w:szCs w:val="2"/>
              </w:rPr>
            </w:pPr>
          </w:p>
        </w:tc>
      </w:tr>
      <w:tr w:rsidR="009967D1" w14:paraId="7D33509A" w14:textId="77777777">
        <w:trPr>
          <w:trHeight w:val="432"/>
          <w:jc w:val="center"/>
        </w:trPr>
        <w:tc>
          <w:tcPr>
            <w:tcW w:w="1150" w:type="dxa"/>
            <w:vAlign w:val="center"/>
          </w:tcPr>
          <w:p w14:paraId="4DA8315C" w14:textId="77777777" w:rsidR="009967D1" w:rsidRDefault="0080134E">
            <w:pPr>
              <w:spacing w:line="400" w:lineRule="exact"/>
              <w:jc w:val="center"/>
              <w:rPr>
                <w:b/>
                <w:bCs/>
                <w:color w:val="000000" w:themeColor="text1"/>
                <w:sz w:val="24"/>
              </w:rPr>
            </w:pPr>
            <w:r>
              <w:rPr>
                <w:rFonts w:hint="eastAsia"/>
                <w:b/>
                <w:bCs/>
                <w:color w:val="000000" w:themeColor="text1"/>
                <w:sz w:val="24"/>
              </w:rPr>
              <w:t>TRUST</w:t>
            </w:r>
          </w:p>
        </w:tc>
        <w:tc>
          <w:tcPr>
            <w:tcW w:w="2536" w:type="dxa"/>
            <w:gridSpan w:val="2"/>
            <w:vAlign w:val="center"/>
          </w:tcPr>
          <w:p w14:paraId="487A7CEC" w14:textId="77777777" w:rsidR="009967D1" w:rsidRDefault="0080134E">
            <w:pPr>
              <w:spacing w:line="400" w:lineRule="exact"/>
              <w:jc w:val="center"/>
              <w:rPr>
                <w:b/>
                <w:bCs/>
                <w:color w:val="000000" w:themeColor="text1"/>
                <w:sz w:val="24"/>
              </w:rPr>
            </w:pPr>
            <w:r>
              <w:rPr>
                <w:rFonts w:hint="eastAsia"/>
                <w:b/>
                <w:bCs/>
                <w:color w:val="000000" w:themeColor="text1"/>
                <w:sz w:val="24"/>
              </w:rPr>
              <w:t>梅毒甲苯胺红不加热血清试验</w:t>
            </w:r>
          </w:p>
        </w:tc>
        <w:tc>
          <w:tcPr>
            <w:tcW w:w="1754" w:type="dxa"/>
            <w:gridSpan w:val="2"/>
            <w:vAlign w:val="center"/>
          </w:tcPr>
          <w:p w14:paraId="1E175628" w14:textId="77777777" w:rsidR="009967D1" w:rsidRDefault="009967D1">
            <w:pPr>
              <w:spacing w:line="400" w:lineRule="exact"/>
              <w:jc w:val="center"/>
              <w:rPr>
                <w:b/>
                <w:bCs/>
                <w:color w:val="000000" w:themeColor="text1"/>
                <w:sz w:val="24"/>
              </w:rPr>
            </w:pPr>
          </w:p>
        </w:tc>
        <w:tc>
          <w:tcPr>
            <w:tcW w:w="825" w:type="dxa"/>
            <w:gridSpan w:val="2"/>
            <w:vAlign w:val="center"/>
          </w:tcPr>
          <w:p w14:paraId="00511001" w14:textId="77777777" w:rsidR="009967D1" w:rsidRDefault="009967D1">
            <w:pPr>
              <w:spacing w:line="400" w:lineRule="exact"/>
              <w:jc w:val="center"/>
              <w:rPr>
                <w:b/>
                <w:bCs/>
                <w:color w:val="000000" w:themeColor="text1"/>
                <w:sz w:val="24"/>
              </w:rPr>
            </w:pPr>
          </w:p>
        </w:tc>
        <w:tc>
          <w:tcPr>
            <w:tcW w:w="1980" w:type="dxa"/>
            <w:gridSpan w:val="2"/>
            <w:vAlign w:val="center"/>
          </w:tcPr>
          <w:p w14:paraId="40DFB72D" w14:textId="77777777" w:rsidR="009967D1" w:rsidRDefault="009967D1">
            <w:pPr>
              <w:spacing w:line="400" w:lineRule="exact"/>
              <w:ind w:firstLineChars="100" w:firstLine="245"/>
              <w:jc w:val="center"/>
              <w:rPr>
                <w:b/>
                <w:bCs/>
                <w:color w:val="000000" w:themeColor="text1"/>
                <w:sz w:val="24"/>
              </w:rPr>
            </w:pPr>
          </w:p>
        </w:tc>
        <w:tc>
          <w:tcPr>
            <w:tcW w:w="1408" w:type="dxa"/>
            <w:gridSpan w:val="2"/>
            <w:vAlign w:val="center"/>
          </w:tcPr>
          <w:p w14:paraId="618317C2" w14:textId="77777777" w:rsidR="009967D1" w:rsidRDefault="009967D1">
            <w:pPr>
              <w:spacing w:line="400" w:lineRule="exact"/>
              <w:jc w:val="center"/>
              <w:rPr>
                <w:b/>
                <w:bCs/>
                <w:color w:val="000000" w:themeColor="text1"/>
                <w:sz w:val="24"/>
              </w:rPr>
            </w:pPr>
          </w:p>
        </w:tc>
      </w:tr>
      <w:tr w:rsidR="009967D1" w14:paraId="596B7095" w14:textId="77777777">
        <w:trPr>
          <w:trHeight w:val="1651"/>
          <w:jc w:val="center"/>
        </w:trPr>
        <w:tc>
          <w:tcPr>
            <w:tcW w:w="9653" w:type="dxa"/>
            <w:gridSpan w:val="11"/>
            <w:vAlign w:val="center"/>
          </w:tcPr>
          <w:p w14:paraId="34A83010" w14:textId="77777777" w:rsidR="009967D1" w:rsidRDefault="009967D1"/>
          <w:p w14:paraId="3348A2EA" w14:textId="77777777" w:rsidR="009967D1" w:rsidRDefault="0080134E">
            <w:r>
              <w:rPr>
                <w:b/>
                <w:bCs/>
              </w:rPr>
              <w:t>Clinical Significance:</w:t>
            </w:r>
            <w:r>
              <w:t xml:space="preserve"> It is a non - specific antibody test for syphilis, used for syphilis screening and curative effect observation. It is normally negative.</w:t>
            </w:r>
          </w:p>
          <w:p w14:paraId="049EC154" w14:textId="77777777" w:rsidR="009967D1" w:rsidRDefault="0080134E">
            <w:r>
              <w:rPr>
                <w:b/>
                <w:bCs/>
              </w:rPr>
              <w:t>临床意义：</w:t>
            </w:r>
            <w:r>
              <w:t>是梅毒非特异性抗体检测，用于梅毒筛查、疗效观察，正常为阴性。</w:t>
            </w:r>
          </w:p>
        </w:tc>
      </w:tr>
      <w:tr>
        <w:tc>
          <w:tcPr>
            <w:tcW w:type="dxa" w:w="1150"/>
          </w:tcPr>
          <w:p>
            <w:r>
              <w:t>Anti-Sm</w:t>
            </w:r>
          </w:p>
        </w:tc>
        <w:tc>
          <w:tcPr>
            <w:tcW w:type="dxa" w:w="410"/>
          </w:tcPr>
          <w:p>
            <w:r>
              <w:t>Anti Smith</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r>
        <w:tc>
          <w:tcPr>
            <w:tcW w:type="dxa" w:w="1150"/>
          </w:tcPr>
          <w:p>
            <w:r>
              <w:t>Anti-RNP</w:t>
            </w:r>
          </w:p>
        </w:tc>
        <w:tc>
          <w:tcPr>
            <w:tcW w:type="dxa" w:w="410"/>
          </w:tcPr>
          <w:p>
            <w:r>
              <w:t>Anti-n RNP</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bl>
    <w:p w14:paraId="09CADF65" w14:textId="77777777" w:rsidR="009967D1" w:rsidRDefault="009967D1" w:rsidP="004619DA">
      <w:pPr>
        <w:pStyle w:val="0"/>
      </w:pPr>
    </w:p>
    <w:p w14:paraId="46E8E24F"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AA782EC" w14:textId="77777777">
        <w:trPr>
          <w:trHeight w:hRule="exact" w:val="113"/>
          <w:jc w:val="center"/>
        </w:trPr>
        <w:tc>
          <w:tcPr>
            <w:tcW w:w="1560" w:type="dxa"/>
            <w:gridSpan w:val="2"/>
            <w:tcBorders>
              <w:top w:val="single" w:sz="4" w:space="0" w:color="auto"/>
            </w:tcBorders>
            <w:vAlign w:val="center"/>
          </w:tcPr>
          <w:p w14:paraId="6F3EC88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69F454C"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7324A4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F576AB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7A4E24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B8A107F" w14:textId="77777777" w:rsidR="009967D1" w:rsidRDefault="009967D1">
            <w:pPr>
              <w:spacing w:line="300" w:lineRule="exact"/>
              <w:jc w:val="right"/>
              <w:rPr>
                <w:color w:val="323E4F" w:themeColor="text2" w:themeShade="BF"/>
                <w:sz w:val="2"/>
                <w:szCs w:val="2"/>
              </w:rPr>
            </w:pPr>
          </w:p>
        </w:tc>
      </w:tr>
      <w:tr w:rsidR="009967D1" w14:paraId="1E29B948" w14:textId="77777777">
        <w:trPr>
          <w:trHeight w:val="432"/>
          <w:jc w:val="center"/>
        </w:trPr>
        <w:tc>
          <w:tcPr>
            <w:tcW w:w="1150" w:type="dxa"/>
            <w:vAlign w:val="center"/>
          </w:tcPr>
          <w:p w14:paraId="175666B6" w14:textId="77777777" w:rsidR="009967D1" w:rsidRDefault="0080134E">
            <w:pPr>
              <w:spacing w:line="400" w:lineRule="exact"/>
              <w:jc w:val="center"/>
              <w:rPr>
                <w:b/>
                <w:bCs/>
                <w:color w:val="000000" w:themeColor="text1"/>
                <w:sz w:val="24"/>
              </w:rPr>
            </w:pPr>
            <w:r>
              <w:rPr>
                <w:rFonts w:hint="eastAsia"/>
                <w:b/>
                <w:bCs/>
                <w:color w:val="000000" w:themeColor="text1"/>
                <w:sz w:val="24"/>
              </w:rPr>
              <w:t>TPPA</w:t>
            </w:r>
          </w:p>
        </w:tc>
        <w:tc>
          <w:tcPr>
            <w:tcW w:w="2536" w:type="dxa"/>
            <w:gridSpan w:val="2"/>
            <w:vAlign w:val="center"/>
          </w:tcPr>
          <w:p w14:paraId="68AF18D3" w14:textId="77777777" w:rsidR="009967D1" w:rsidRDefault="0080134E">
            <w:pPr>
              <w:spacing w:line="400" w:lineRule="exact"/>
              <w:jc w:val="center"/>
              <w:rPr>
                <w:b/>
                <w:bCs/>
                <w:color w:val="000000" w:themeColor="text1"/>
                <w:sz w:val="24"/>
              </w:rPr>
            </w:pPr>
            <w:r>
              <w:rPr>
                <w:rFonts w:hint="eastAsia"/>
                <w:b/>
                <w:bCs/>
                <w:color w:val="000000" w:themeColor="text1"/>
                <w:sz w:val="24"/>
              </w:rPr>
              <w:t>梅毒螺旋体特异性抗体定性</w:t>
            </w:r>
          </w:p>
        </w:tc>
        <w:tc>
          <w:tcPr>
            <w:tcW w:w="1754" w:type="dxa"/>
            <w:gridSpan w:val="2"/>
            <w:vAlign w:val="center"/>
          </w:tcPr>
          <w:p>
            <w:r>
              <w:t>{{TPPA_result}}</w:t>
            </w:r>
          </w:p>
        </w:tc>
        <w:tc>
          <w:tcPr>
            <w:tcW w:w="825" w:type="dxa"/>
            <w:gridSpan w:val="2"/>
            <w:vAlign w:val="center"/>
          </w:tcPr>
          <w:p>
            <w:r>
              <w:t>{{TPPA_point}}</w:t>
            </w:r>
          </w:p>
        </w:tc>
        <w:tc>
          <w:tcPr>
            <w:tcW w:w="1980" w:type="dxa"/>
            <w:gridSpan w:val="2"/>
            <w:vAlign w:val="center"/>
          </w:tcPr>
          <w:p>
            <w:r>
              <w:t>{{TPPA_refer}}</w:t>
            </w:r>
          </w:p>
        </w:tc>
        <w:tc>
          <w:tcPr>
            <w:tcW w:w="1408" w:type="dxa"/>
            <w:gridSpan w:val="2"/>
            <w:vAlign w:val="center"/>
          </w:tcPr>
          <w:p>
            <w:r>
              <w:t>{{TPPA_unit}}</w:t>
            </w:r>
          </w:p>
        </w:tc>
      </w:tr>
      <w:tr w:rsidR="009967D1" w14:paraId="570626E2" w14:textId="77777777">
        <w:trPr>
          <w:trHeight w:val="1651"/>
          <w:jc w:val="center"/>
        </w:trPr>
        <w:tc>
          <w:tcPr>
            <w:tcW w:w="9653" w:type="dxa"/>
            <w:gridSpan w:val="11"/>
            <w:vAlign w:val="center"/>
          </w:tcPr>
          <w:p w14:paraId="41B5C98F" w14:textId="77777777" w:rsidR="009967D1" w:rsidRDefault="009967D1"/>
          <w:p w14:paraId="76025AF2" w14:textId="77777777" w:rsidR="009967D1" w:rsidRDefault="0080134E">
            <w:r>
              <w:rPr>
                <w:b/>
                <w:bCs/>
              </w:rPr>
              <w:t>Clinical Significance:</w:t>
            </w:r>
            <w:r>
              <w:t xml:space="preserve"> A test for specific antibodies against Treponema pallidum, used for the diagnosis of syphilis. After syphilis infection, specific antibodies are generally positive for life. It is normally negative.</w:t>
            </w:r>
          </w:p>
          <w:p w14:paraId="5367FA9C" w14:textId="77777777" w:rsidR="009967D1" w:rsidRDefault="0080134E">
            <w:r>
              <w:rPr>
                <w:b/>
                <w:bCs/>
              </w:rPr>
              <w:t>临床意义：</w:t>
            </w:r>
            <w:r>
              <w:t>梅毒螺旋体特异性抗体检测，用于梅毒确诊，感染梅毒后，特异性抗体一般终身阳性，正常为阴性。</w:t>
            </w:r>
          </w:p>
        </w:tc>
      </w:tr>
    </w:tbl>
    <w:p w14:paraId="220EA1BE" w14:textId="77777777" w:rsidR="009967D1" w:rsidRDefault="009967D1" w:rsidP="004619DA">
      <w:pPr>
        <w:pStyle w:val="0"/>
      </w:pPr>
    </w:p>
    <w:p w14:paraId="265FB03F"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89A5FFD" w14:textId="77777777">
        <w:trPr>
          <w:trHeight w:hRule="exact" w:val="113"/>
          <w:jc w:val="center"/>
        </w:trPr>
        <w:tc>
          <w:tcPr>
            <w:tcW w:w="1560" w:type="dxa"/>
            <w:gridSpan w:val="2"/>
            <w:tcBorders>
              <w:top w:val="single" w:sz="4" w:space="0" w:color="auto"/>
            </w:tcBorders>
            <w:vAlign w:val="center"/>
          </w:tcPr>
          <w:p w14:paraId="3FF91988"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2555C88"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FCBBD5A"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62BE76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D596615"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9AE23A5" w14:textId="77777777" w:rsidR="009967D1" w:rsidRDefault="009967D1">
            <w:pPr>
              <w:spacing w:line="300" w:lineRule="exact"/>
              <w:jc w:val="right"/>
              <w:rPr>
                <w:color w:val="323E4F" w:themeColor="text2" w:themeShade="BF"/>
                <w:sz w:val="2"/>
                <w:szCs w:val="2"/>
              </w:rPr>
            </w:pPr>
          </w:p>
        </w:tc>
      </w:tr>
      <w:tr w:rsidR="009967D1" w14:paraId="3200310D" w14:textId="77777777">
        <w:trPr>
          <w:trHeight w:val="432"/>
          <w:jc w:val="center"/>
        </w:trPr>
        <w:tc>
          <w:tcPr>
            <w:tcW w:w="1150" w:type="dxa"/>
            <w:vAlign w:val="center"/>
          </w:tcPr>
          <w:p w14:paraId="456127BB" w14:textId="77777777" w:rsidR="009967D1" w:rsidRDefault="0080134E">
            <w:pPr>
              <w:spacing w:line="400" w:lineRule="exact"/>
              <w:jc w:val="center"/>
              <w:rPr>
                <w:b/>
                <w:bCs/>
                <w:color w:val="000000" w:themeColor="text1"/>
                <w:sz w:val="24"/>
              </w:rPr>
            </w:pPr>
            <w:r>
              <w:rPr>
                <w:rFonts w:hint="eastAsia"/>
                <w:b/>
                <w:bCs/>
                <w:color w:val="000000" w:themeColor="text1"/>
                <w:sz w:val="24"/>
              </w:rPr>
              <w:t>HBsAg</w:t>
            </w:r>
          </w:p>
        </w:tc>
        <w:tc>
          <w:tcPr>
            <w:tcW w:w="2536" w:type="dxa"/>
            <w:gridSpan w:val="2"/>
            <w:vAlign w:val="center"/>
          </w:tcPr>
          <w:p w14:paraId="3B3DFAF7" w14:textId="77777777" w:rsidR="009967D1" w:rsidRDefault="0080134E">
            <w:pPr>
              <w:spacing w:line="400" w:lineRule="exact"/>
              <w:jc w:val="center"/>
              <w:rPr>
                <w:b/>
                <w:bCs/>
                <w:color w:val="000000" w:themeColor="text1"/>
                <w:sz w:val="24"/>
              </w:rPr>
            </w:pPr>
            <w:r>
              <w:rPr>
                <w:rFonts w:hint="eastAsia"/>
                <w:b/>
                <w:bCs/>
                <w:color w:val="000000" w:themeColor="text1"/>
                <w:sz w:val="24"/>
              </w:rPr>
              <w:t>乙肝表面抗原</w:t>
            </w:r>
          </w:p>
        </w:tc>
        <w:tc>
          <w:tcPr>
            <w:tcW w:w="1754" w:type="dxa"/>
            <w:gridSpan w:val="2"/>
            <w:vAlign w:val="center"/>
          </w:tcPr>
          <w:p>
            <w:r>
              <w:t>{{HBSAG_result}}</w:t>
            </w:r>
          </w:p>
        </w:tc>
        <w:tc>
          <w:tcPr>
            <w:tcW w:w="825" w:type="dxa"/>
            <w:gridSpan w:val="2"/>
            <w:vAlign w:val="center"/>
          </w:tcPr>
          <w:p>
            <w:r>
              <w:t>{{HBSAG_point}}</w:t>
            </w:r>
          </w:p>
        </w:tc>
        <w:tc>
          <w:tcPr>
            <w:tcW w:w="1980" w:type="dxa"/>
            <w:gridSpan w:val="2"/>
            <w:vAlign w:val="center"/>
          </w:tcPr>
          <w:p>
            <w:r>
              <w:t>{{HBSAG_refer}}</w:t>
            </w:r>
          </w:p>
        </w:tc>
        <w:tc>
          <w:tcPr>
            <w:tcW w:w="1408" w:type="dxa"/>
            <w:gridSpan w:val="2"/>
            <w:vAlign w:val="center"/>
          </w:tcPr>
          <w:p>
            <w:r>
              <w:t>{{HBSAG_unit}}</w:t>
            </w:r>
          </w:p>
        </w:tc>
      </w:tr>
      <w:tr w:rsidR="009967D1" w14:paraId="04A79F0C" w14:textId="77777777">
        <w:trPr>
          <w:trHeight w:val="1651"/>
          <w:jc w:val="center"/>
        </w:trPr>
        <w:tc>
          <w:tcPr>
            <w:tcW w:w="9653" w:type="dxa"/>
            <w:gridSpan w:val="11"/>
            <w:vAlign w:val="center"/>
          </w:tcPr>
          <w:p w14:paraId="4C6694FE" w14:textId="77777777" w:rsidR="009967D1" w:rsidRDefault="009967D1"/>
          <w:p w14:paraId="166EA2E0" w14:textId="77777777" w:rsidR="009967D1" w:rsidRDefault="0080134E">
            <w:r>
              <w:rPr>
                <w:b/>
                <w:bCs/>
              </w:rPr>
              <w:t>Clinical Significance:</w:t>
            </w:r>
            <w:r>
              <w:t xml:space="preserve"> It is a marker of hepatitis B virus infection, used for hepatitis B screening and diagnosis. It is normally negative.</w:t>
            </w:r>
          </w:p>
          <w:p w14:paraId="2D6B339B" w14:textId="77777777" w:rsidR="009967D1" w:rsidRDefault="0080134E">
            <w:r>
              <w:rPr>
                <w:b/>
                <w:bCs/>
              </w:rPr>
              <w:t>临床意义：</w:t>
            </w:r>
            <w:r>
              <w:t>是乙肝病毒感染的标志，用于乙肝筛查、诊断，正常为阴性。</w:t>
            </w:r>
          </w:p>
        </w:tc>
      </w:tr>
      <w:tr>
        <w:tc>
          <w:tcPr>
            <w:tcW w:type="dxa" w:w="1150"/>
          </w:tcPr>
          <w:p>
            <w:r>
              <w:t>CYFRA21-1</w:t>
            </w:r>
          </w:p>
        </w:tc>
        <w:tc>
          <w:tcPr>
            <w:tcW w:type="dxa" w:w="410"/>
          </w:tcPr>
          <w:p>
            <w:r>
              <w:t>CYFRA 21-1</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r>
        <w:tc>
          <w:tcPr>
            <w:tcW w:type="dxa" w:w="1150"/>
          </w:tcPr>
          <w:p>
            <w:r>
              <w:t>NSE</w:t>
            </w:r>
          </w:p>
        </w:tc>
        <w:tc>
          <w:tcPr>
            <w:tcW w:type="dxa" w:w="410"/>
          </w:tcPr>
          <w:p>
            <w:r>
              <w:t>Neuron Specific Enolase</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r w:rsidR="009967D1" w14:paraId="3200310D" w14:textId="77777777">
        <w:trPr>
          <w:trHeight w:val="432"/>
          <w:jc w:val="center"/>
        </w:trPr>
        <w:tc>
          <w:tcPr>
            <w:tcW w:w="1150" w:type="dxa"/>
            <w:vAlign w:val="center"/>
          </w:tcPr>
          <w:p>
            <w:r>
              <w:t>HIV</w:t>
            </w:r>
          </w:p>
        </w:tc>
        <w:tc>
          <w:tcPr>
            <w:tcW w:w="2536" w:type="dxa"/>
            <w:gridSpan w:val="2"/>
            <w:vAlign w:val="center"/>
          </w:tcPr>
          <w:p>
            <w:r>
              <w:t>HIV抗体</w:t>
            </w:r>
          </w:p>
        </w:tc>
        <w:tc>
          <w:tcPr>
            <w:tcW w:w="1754" w:type="dxa"/>
            <w:gridSpan w:val="2"/>
            <w:vAlign w:val="center"/>
          </w:tcPr>
          <w:p>
            <w:r>
              <w:t>Non Reactive</w:t>
            </w:r>
          </w:p>
        </w:tc>
        <w:tc>
          <w:tcPr>
            <w:tcW w:w="825" w:type="dxa"/>
            <w:gridSpan w:val="2"/>
            <w:vAlign w:val="center"/>
          </w:tcPr>
          <w:p>
            <w:r/>
          </w:p>
        </w:tc>
        <w:tc>
          <w:tcPr>
            <w:tcW w:w="1980" w:type="dxa"/>
            <w:gridSpan w:val="2"/>
            <w:vAlign w:val="center"/>
          </w:tcPr>
          <w:p>
            <w:r>
              <w:t>Non Reactive</w:t>
            </w:r>
          </w:p>
        </w:tc>
        <w:tc>
          <w:tcPr>
            <w:tcW w:w="1408" w:type="dxa"/>
            <w:gridSpan w:val="2"/>
            <w:vAlign w:val="center"/>
          </w:tcPr>
          <w:p>
            <w:r/>
          </w:p>
        </w:tc>
      </w:tr>
      <w:tr w:rsidR="009967D1" w14:paraId="3200310D" w14:textId="77777777">
        <w:trPr>
          <w:trHeight w:val="432"/>
          <w:jc w:val="center"/>
        </w:trPr>
        <w:tc>
          <w:tcPr>
            <w:tcW w:w="1150" w:type="dxa"/>
            <w:vAlign w:val="center"/>
          </w:tcPr>
          <w:p>
            <w:r>
              <w:t>RPR</w:t>
            </w:r>
          </w:p>
        </w:tc>
        <w:tc>
          <w:tcPr>
            <w:tcW w:w="2536" w:type="dxa"/>
            <w:gridSpan w:val="2"/>
            <w:vAlign w:val="center"/>
          </w:tcPr>
          <w:p>
            <w:r>
              <w:t>RPR梅毒筛查</w:t>
            </w:r>
          </w:p>
        </w:tc>
        <w:tc>
          <w:tcPr>
            <w:tcW w:w="1754" w:type="dxa"/>
            <w:gridSpan w:val="2"/>
            <w:vAlign w:val="center"/>
          </w:tcPr>
          <w:p>
            <w:r>
              <w:t>Non reactive</w:t>
            </w:r>
          </w:p>
        </w:tc>
        <w:tc>
          <w:tcPr>
            <w:tcW w:w="825" w:type="dxa"/>
            <w:gridSpan w:val="2"/>
            <w:vAlign w:val="center"/>
          </w:tcPr>
          <w:p>
            <w:r/>
          </w:p>
        </w:tc>
        <w:tc>
          <w:tcPr>
            <w:tcW w:w="1980" w:type="dxa"/>
            <w:gridSpan w:val="2"/>
            <w:vAlign w:val="center"/>
          </w:tcPr>
          <w:p>
            <w:r>
              <w:t>Non reactive</w:t>
            </w:r>
          </w:p>
        </w:tc>
        <w:tc>
          <w:tcPr>
            <w:tcW w:w="1408" w:type="dxa"/>
            <w:gridSpan w:val="2"/>
            <w:vAlign w:val="center"/>
          </w:tcPr>
          <w:p>
            <w:r/>
          </w:p>
        </w:tc>
      </w:tr>
      <w:tr w:rsidR="009967D1" w14:paraId="3200310D" w14:textId="77777777">
        <w:trPr>
          <w:trHeight w:val="432"/>
          <w:jc w:val="center"/>
        </w:trPr>
        <w:tc>
          <w:tcPr>
            <w:tcW w:w="1150" w:type="dxa"/>
            <w:vAlign w:val="center"/>
          </w:tcPr>
          <w:p>
            <w:r>
              <w:t>SAPA</w:t>
            </w:r>
          </w:p>
        </w:tc>
        <w:tc>
          <w:tcPr>
            <w:tcW w:w="2536" w:type="dxa"/>
            <w:gridSpan w:val="2"/>
            <w:vAlign w:val="center"/>
          </w:tcPr>
          <w:p>
            <w:r>
              <w:t>Syphilis 梅毒抗体</w:t>
            </w:r>
          </w:p>
        </w:tc>
        <w:tc>
          <w:tcPr>
            <w:tcW w:w="1754" w:type="dxa"/>
            <w:gridSpan w:val="2"/>
            <w:vAlign w:val="center"/>
          </w:tcPr>
          <w:p>
            <w:r>
              <w:t>Non-reactive</w:t>
            </w:r>
          </w:p>
        </w:tc>
        <w:tc>
          <w:tcPr>
            <w:tcW w:w="825" w:type="dxa"/>
            <w:gridSpan w:val="2"/>
            <w:vAlign w:val="center"/>
          </w:tcPr>
          <w:p>
            <w:r/>
          </w:p>
        </w:tc>
        <w:tc>
          <w:tcPr>
            <w:tcW w:w="1980" w:type="dxa"/>
            <w:gridSpan w:val="2"/>
            <w:vAlign w:val="center"/>
          </w:tcPr>
          <w:p>
            <w:r>
              <w:t>Non-reactive</w:t>
            </w:r>
          </w:p>
        </w:tc>
        <w:tc>
          <w:tcPr>
            <w:tcW w:w="1408" w:type="dxa"/>
            <w:gridSpan w:val="2"/>
            <w:vAlign w:val="center"/>
          </w:tcPr>
          <w:p>
            <w:r/>
          </w:p>
        </w:tc>
      </w:tr>
    </w:tbl>
    <w:p w14:paraId="2D8D4BC1" w14:textId="77777777" w:rsidR="009967D1" w:rsidRDefault="009967D1" w:rsidP="004619DA">
      <w:pPr>
        <w:pStyle w:val="0"/>
      </w:pPr>
    </w:p>
    <w:p w14:paraId="209FEE07"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DDB2EF4" w14:textId="77777777">
        <w:trPr>
          <w:trHeight w:hRule="exact" w:val="113"/>
          <w:jc w:val="center"/>
        </w:trPr>
        <w:tc>
          <w:tcPr>
            <w:tcW w:w="1560" w:type="dxa"/>
            <w:gridSpan w:val="2"/>
            <w:tcBorders>
              <w:top w:val="single" w:sz="4" w:space="0" w:color="auto"/>
            </w:tcBorders>
            <w:vAlign w:val="center"/>
          </w:tcPr>
          <w:p w14:paraId="327B3DE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D0201E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110165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13516F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CBFC186"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37014CF" w14:textId="77777777" w:rsidR="009967D1" w:rsidRDefault="009967D1">
            <w:pPr>
              <w:spacing w:line="300" w:lineRule="exact"/>
              <w:jc w:val="right"/>
              <w:rPr>
                <w:color w:val="323E4F" w:themeColor="text2" w:themeShade="BF"/>
                <w:sz w:val="2"/>
                <w:szCs w:val="2"/>
              </w:rPr>
            </w:pPr>
          </w:p>
        </w:tc>
      </w:tr>
      <w:tr w:rsidR="009967D1" w14:paraId="4A768A00" w14:textId="77777777">
        <w:trPr>
          <w:trHeight w:val="432"/>
          <w:jc w:val="center"/>
        </w:trPr>
        <w:tc>
          <w:tcPr>
            <w:tcW w:w="1150" w:type="dxa"/>
            <w:vAlign w:val="center"/>
          </w:tcPr>
          <w:p w14:paraId="1CA513BF" w14:textId="77777777" w:rsidR="009967D1" w:rsidRDefault="0080134E">
            <w:pPr>
              <w:spacing w:line="400" w:lineRule="exact"/>
              <w:jc w:val="center"/>
              <w:rPr>
                <w:b/>
                <w:bCs/>
                <w:color w:val="000000" w:themeColor="text1"/>
                <w:sz w:val="24"/>
              </w:rPr>
            </w:pPr>
            <w:r>
              <w:rPr>
                <w:rFonts w:hint="eastAsia"/>
                <w:b/>
                <w:bCs/>
                <w:color w:val="000000" w:themeColor="text1"/>
                <w:sz w:val="24"/>
              </w:rPr>
              <w:t>HBsAb</w:t>
            </w:r>
          </w:p>
        </w:tc>
        <w:tc>
          <w:tcPr>
            <w:tcW w:w="2536" w:type="dxa"/>
            <w:gridSpan w:val="2"/>
            <w:vAlign w:val="center"/>
          </w:tcPr>
          <w:p w14:paraId="03F33658" w14:textId="77777777" w:rsidR="009967D1" w:rsidRDefault="0080134E">
            <w:pPr>
              <w:spacing w:line="400" w:lineRule="exact"/>
              <w:jc w:val="center"/>
              <w:rPr>
                <w:b/>
                <w:bCs/>
                <w:color w:val="000000" w:themeColor="text1"/>
                <w:sz w:val="24"/>
              </w:rPr>
            </w:pPr>
            <w:r>
              <w:rPr>
                <w:rFonts w:hint="eastAsia"/>
                <w:b/>
                <w:bCs/>
                <w:color w:val="000000" w:themeColor="text1"/>
                <w:sz w:val="24"/>
              </w:rPr>
              <w:t>乙肝表面抗体</w:t>
            </w:r>
          </w:p>
        </w:tc>
        <w:tc>
          <w:tcPr>
            <w:tcW w:w="1754" w:type="dxa"/>
            <w:gridSpan w:val="2"/>
            <w:vAlign w:val="center"/>
          </w:tcPr>
          <w:p>
            <w:r>
              <w:t>{{HBSAB_result}}</w:t>
            </w:r>
          </w:p>
        </w:tc>
        <w:tc>
          <w:tcPr>
            <w:tcW w:w="825" w:type="dxa"/>
            <w:gridSpan w:val="2"/>
            <w:vAlign w:val="center"/>
          </w:tcPr>
          <w:p>
            <w:r>
              <w:t>{{HBSAB_point}}</w:t>
            </w:r>
          </w:p>
        </w:tc>
        <w:tc>
          <w:tcPr>
            <w:tcW w:w="1980" w:type="dxa"/>
            <w:gridSpan w:val="2"/>
            <w:vAlign w:val="center"/>
          </w:tcPr>
          <w:p>
            <w:r>
              <w:t>{{HBSAB_refer}}</w:t>
            </w:r>
          </w:p>
        </w:tc>
        <w:tc>
          <w:tcPr>
            <w:tcW w:w="1408" w:type="dxa"/>
            <w:gridSpan w:val="2"/>
            <w:vAlign w:val="center"/>
          </w:tcPr>
          <w:p>
            <w:r>
              <w:t>{{HBSAB_unit}}</w:t>
            </w:r>
          </w:p>
        </w:tc>
      </w:tr>
      <w:tr w:rsidR="009967D1" w14:paraId="0821433F" w14:textId="77777777">
        <w:trPr>
          <w:trHeight w:val="1651"/>
          <w:jc w:val="center"/>
        </w:trPr>
        <w:tc>
          <w:tcPr>
            <w:tcW w:w="9653" w:type="dxa"/>
            <w:gridSpan w:val="11"/>
            <w:vAlign w:val="center"/>
          </w:tcPr>
          <w:p w14:paraId="4098F792" w14:textId="77777777" w:rsidR="009967D1" w:rsidRDefault="009967D1"/>
          <w:p w14:paraId="475E6026" w14:textId="77777777" w:rsidR="009967D1" w:rsidRDefault="0080134E">
            <w:r>
              <w:rPr>
                <w:b/>
                <w:bCs/>
              </w:rPr>
              <w:t>Clinical Significance:</w:t>
            </w:r>
            <w:r>
              <w:t xml:space="preserve"> It is a protective antibody against hepatitis B, indicating immunity to hepatitis B virus. It is normally negative or has a protective titer (generally, ≥10mIU/ml is considered to have protective power).</w:t>
            </w:r>
          </w:p>
          <w:p w14:paraId="0A9B6FEB" w14:textId="77777777" w:rsidR="009967D1" w:rsidRDefault="0080134E">
            <w:r>
              <w:rPr>
                <w:b/>
                <w:bCs/>
              </w:rPr>
              <w:t>临床意义：</w:t>
            </w:r>
            <w:r>
              <w:t>是乙肝保护性抗体，提示对乙肝病毒有免疫力，正常为阴性或有保护性滴度（一般认为≥10mIU/ml有保护力）</w:t>
            </w:r>
            <w:r>
              <w:rPr>
                <w:rFonts w:hint="eastAsia"/>
              </w:rPr>
              <w:t>。</w:t>
            </w:r>
          </w:p>
        </w:tc>
      </w:tr>
    </w:tbl>
    <w:p w14:paraId="7F1D7630" w14:textId="77777777" w:rsidR="009967D1" w:rsidRDefault="009967D1" w:rsidP="004619DA">
      <w:pPr>
        <w:pStyle w:val="0"/>
      </w:pPr>
    </w:p>
    <w:p w14:paraId="284C1962"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4DB0D07" w14:textId="77777777">
        <w:trPr>
          <w:trHeight w:hRule="exact" w:val="113"/>
          <w:jc w:val="center"/>
        </w:trPr>
        <w:tc>
          <w:tcPr>
            <w:tcW w:w="1560" w:type="dxa"/>
            <w:gridSpan w:val="2"/>
            <w:tcBorders>
              <w:top w:val="single" w:sz="4" w:space="0" w:color="auto"/>
            </w:tcBorders>
            <w:vAlign w:val="center"/>
          </w:tcPr>
          <w:p w14:paraId="0A768784"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0398E4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B14CE0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831BDC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749BF6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3418D6C" w14:textId="77777777" w:rsidR="009967D1" w:rsidRDefault="009967D1">
            <w:pPr>
              <w:spacing w:line="300" w:lineRule="exact"/>
              <w:jc w:val="right"/>
              <w:rPr>
                <w:color w:val="323E4F" w:themeColor="text2" w:themeShade="BF"/>
                <w:sz w:val="2"/>
                <w:szCs w:val="2"/>
              </w:rPr>
            </w:pPr>
          </w:p>
        </w:tc>
      </w:tr>
      <w:tr w:rsidR="009967D1" w14:paraId="5353E81F" w14:textId="77777777">
        <w:trPr>
          <w:trHeight w:val="432"/>
          <w:jc w:val="center"/>
        </w:trPr>
        <w:tc>
          <w:tcPr>
            <w:tcW w:w="1150" w:type="dxa"/>
            <w:vAlign w:val="center"/>
          </w:tcPr>
          <w:p w14:paraId="628F8023" w14:textId="77777777" w:rsidR="009967D1" w:rsidRDefault="0080134E">
            <w:pPr>
              <w:spacing w:line="400" w:lineRule="exact"/>
              <w:jc w:val="center"/>
              <w:rPr>
                <w:b/>
                <w:bCs/>
                <w:color w:val="000000" w:themeColor="text1"/>
                <w:sz w:val="24"/>
              </w:rPr>
            </w:pPr>
            <w:r>
              <w:rPr>
                <w:rFonts w:hint="eastAsia"/>
                <w:b/>
                <w:bCs/>
                <w:color w:val="000000" w:themeColor="text1"/>
                <w:sz w:val="24"/>
              </w:rPr>
              <w:t>HBeAg</w:t>
            </w:r>
          </w:p>
        </w:tc>
        <w:tc>
          <w:tcPr>
            <w:tcW w:w="2536" w:type="dxa"/>
            <w:gridSpan w:val="2"/>
            <w:vAlign w:val="center"/>
          </w:tcPr>
          <w:p w14:paraId="3633B134" w14:textId="77777777" w:rsidR="009967D1" w:rsidRDefault="0080134E">
            <w:pPr>
              <w:spacing w:line="400" w:lineRule="exact"/>
              <w:jc w:val="center"/>
              <w:rPr>
                <w:b/>
                <w:bCs/>
                <w:color w:val="000000" w:themeColor="text1"/>
                <w:sz w:val="24"/>
              </w:rPr>
            </w:pPr>
            <w:r>
              <w:rPr>
                <w:rFonts w:hint="eastAsia"/>
                <w:b/>
                <w:bCs/>
                <w:color w:val="000000" w:themeColor="text1"/>
                <w:sz w:val="24"/>
              </w:rPr>
              <w:t>乙肝 E 抗原</w:t>
            </w:r>
          </w:p>
        </w:tc>
        <w:tc>
          <w:tcPr>
            <w:tcW w:w="1754" w:type="dxa"/>
            <w:gridSpan w:val="2"/>
            <w:vAlign w:val="center"/>
          </w:tcPr>
          <w:p>
            <w:r>
              <w:t>{{HBEAG_result}}</w:t>
            </w:r>
          </w:p>
        </w:tc>
        <w:tc>
          <w:tcPr>
            <w:tcW w:w="825" w:type="dxa"/>
            <w:gridSpan w:val="2"/>
            <w:vAlign w:val="center"/>
          </w:tcPr>
          <w:p>
            <w:r>
              <w:t>{{HBEAG_point}}</w:t>
            </w:r>
          </w:p>
        </w:tc>
        <w:tc>
          <w:tcPr>
            <w:tcW w:w="1980" w:type="dxa"/>
            <w:gridSpan w:val="2"/>
            <w:vAlign w:val="center"/>
          </w:tcPr>
          <w:p>
            <w:r>
              <w:t>{{HBEAG_refer}}</w:t>
            </w:r>
          </w:p>
        </w:tc>
        <w:tc>
          <w:tcPr>
            <w:tcW w:w="1408" w:type="dxa"/>
            <w:gridSpan w:val="2"/>
            <w:vAlign w:val="center"/>
          </w:tcPr>
          <w:p>
            <w:r>
              <w:t>{{HBEAG_unit}}</w:t>
            </w:r>
          </w:p>
        </w:tc>
      </w:tr>
      <w:tr w:rsidR="009967D1" w14:paraId="0528C28F" w14:textId="77777777">
        <w:trPr>
          <w:trHeight w:val="1651"/>
          <w:jc w:val="center"/>
        </w:trPr>
        <w:tc>
          <w:tcPr>
            <w:tcW w:w="9653" w:type="dxa"/>
            <w:gridSpan w:val="11"/>
            <w:vAlign w:val="center"/>
          </w:tcPr>
          <w:p w14:paraId="54FCC860" w14:textId="77777777" w:rsidR="009967D1" w:rsidRDefault="009967D1"/>
          <w:p w14:paraId="009FDFEC" w14:textId="77777777" w:rsidR="009967D1" w:rsidRDefault="0080134E">
            <w:r>
              <w:rPr>
                <w:b/>
                <w:bCs/>
              </w:rPr>
              <w:t>Clinical Significance:</w:t>
            </w:r>
            <w:r>
              <w:t xml:space="preserve"> Reflects the degree of hepatitis B virus replication and the strength of infectivity. It is normally negative.</w:t>
            </w:r>
          </w:p>
          <w:p w14:paraId="105E1A6F" w14:textId="77777777" w:rsidR="009967D1" w:rsidRDefault="0080134E">
            <w:r>
              <w:rPr>
                <w:b/>
                <w:bCs/>
              </w:rPr>
              <w:t>临床意义：</w:t>
            </w:r>
            <w:r>
              <w:t>反映乙肝病毒复制活跃程度、传染性强弱，正常为阴性。</w:t>
            </w:r>
          </w:p>
        </w:tc>
      </w:tr>
    </w:tbl>
    <w:p w14:paraId="07BCA9B4" w14:textId="77777777" w:rsidR="009967D1" w:rsidRDefault="009967D1" w:rsidP="004619DA">
      <w:pPr>
        <w:pStyle w:val="0"/>
      </w:pPr>
    </w:p>
    <w:p w14:paraId="6BC70DA1"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0059DE9" w14:textId="77777777">
        <w:trPr>
          <w:trHeight w:hRule="exact" w:val="113"/>
          <w:jc w:val="center"/>
        </w:trPr>
        <w:tc>
          <w:tcPr>
            <w:tcW w:w="1560" w:type="dxa"/>
            <w:gridSpan w:val="2"/>
            <w:tcBorders>
              <w:top w:val="single" w:sz="4" w:space="0" w:color="auto"/>
            </w:tcBorders>
            <w:vAlign w:val="center"/>
          </w:tcPr>
          <w:p w14:paraId="4E62DAA0"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16A1B65"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EA9C16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16DE38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FBEEB6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A5A29E1" w14:textId="77777777" w:rsidR="009967D1" w:rsidRDefault="009967D1">
            <w:pPr>
              <w:spacing w:line="300" w:lineRule="exact"/>
              <w:jc w:val="right"/>
              <w:rPr>
                <w:color w:val="323E4F" w:themeColor="text2" w:themeShade="BF"/>
                <w:sz w:val="2"/>
                <w:szCs w:val="2"/>
              </w:rPr>
            </w:pPr>
          </w:p>
        </w:tc>
      </w:tr>
      <w:tr w:rsidR="009967D1" w14:paraId="6F867714" w14:textId="77777777">
        <w:trPr>
          <w:trHeight w:val="432"/>
          <w:jc w:val="center"/>
        </w:trPr>
        <w:tc>
          <w:tcPr>
            <w:tcW w:w="1150" w:type="dxa"/>
            <w:vAlign w:val="center"/>
          </w:tcPr>
          <w:p w14:paraId="2287F98B" w14:textId="77777777" w:rsidR="009967D1" w:rsidRDefault="0080134E">
            <w:pPr>
              <w:spacing w:line="400" w:lineRule="exact"/>
              <w:jc w:val="center"/>
              <w:rPr>
                <w:b/>
                <w:bCs/>
                <w:color w:val="000000" w:themeColor="text1"/>
                <w:sz w:val="24"/>
              </w:rPr>
            </w:pPr>
            <w:r>
              <w:rPr>
                <w:rFonts w:hint="eastAsia"/>
                <w:b/>
                <w:bCs/>
                <w:color w:val="000000" w:themeColor="text1"/>
                <w:sz w:val="24"/>
              </w:rPr>
              <w:t>HBeAb</w:t>
            </w:r>
          </w:p>
        </w:tc>
        <w:tc>
          <w:tcPr>
            <w:tcW w:w="2536" w:type="dxa"/>
            <w:gridSpan w:val="2"/>
            <w:vAlign w:val="center"/>
          </w:tcPr>
          <w:p w14:paraId="557D13C0" w14:textId="77777777" w:rsidR="009967D1" w:rsidRDefault="0080134E">
            <w:pPr>
              <w:spacing w:line="400" w:lineRule="exact"/>
              <w:jc w:val="center"/>
              <w:rPr>
                <w:b/>
                <w:bCs/>
                <w:color w:val="000000" w:themeColor="text1"/>
                <w:sz w:val="24"/>
              </w:rPr>
            </w:pPr>
            <w:r>
              <w:rPr>
                <w:rFonts w:hint="eastAsia"/>
                <w:b/>
                <w:bCs/>
                <w:color w:val="000000" w:themeColor="text1"/>
                <w:sz w:val="24"/>
              </w:rPr>
              <w:t>乙肝 E 抗体</w:t>
            </w:r>
          </w:p>
        </w:tc>
        <w:tc>
          <w:tcPr>
            <w:tcW w:w="1754" w:type="dxa"/>
            <w:gridSpan w:val="2"/>
            <w:vAlign w:val="center"/>
          </w:tcPr>
          <w:p>
            <w:r>
              <w:t>{{HBEAB_result}}</w:t>
            </w:r>
          </w:p>
        </w:tc>
        <w:tc>
          <w:tcPr>
            <w:tcW w:w="825" w:type="dxa"/>
            <w:gridSpan w:val="2"/>
            <w:vAlign w:val="center"/>
          </w:tcPr>
          <w:p>
            <w:r>
              <w:t>{{HBEAB_point}}</w:t>
            </w:r>
          </w:p>
        </w:tc>
        <w:tc>
          <w:tcPr>
            <w:tcW w:w="1980" w:type="dxa"/>
            <w:gridSpan w:val="2"/>
            <w:vAlign w:val="center"/>
          </w:tcPr>
          <w:p>
            <w:r>
              <w:t>{{HBEAB_refer}}</w:t>
            </w:r>
          </w:p>
        </w:tc>
        <w:tc>
          <w:tcPr>
            <w:tcW w:w="1408" w:type="dxa"/>
            <w:gridSpan w:val="2"/>
            <w:vAlign w:val="center"/>
          </w:tcPr>
          <w:p>
            <w:r>
              <w:t>{{HBEAB_unit}}</w:t>
            </w:r>
          </w:p>
        </w:tc>
      </w:tr>
      <w:tr w:rsidR="009967D1" w14:paraId="3015ECAD" w14:textId="77777777">
        <w:trPr>
          <w:trHeight w:val="1651"/>
          <w:jc w:val="center"/>
        </w:trPr>
        <w:tc>
          <w:tcPr>
            <w:tcW w:w="9653" w:type="dxa"/>
            <w:gridSpan w:val="11"/>
            <w:vAlign w:val="center"/>
          </w:tcPr>
          <w:p w14:paraId="14933B85" w14:textId="77777777" w:rsidR="009967D1" w:rsidRDefault="009967D1"/>
          <w:p w14:paraId="6F5F1D87" w14:textId="77777777" w:rsidR="009967D1" w:rsidRDefault="0080134E">
            <w:r>
              <w:rPr>
                <w:b/>
                <w:bCs/>
              </w:rPr>
              <w:t>Clinical Significance:</w:t>
            </w:r>
            <w:r>
              <w:t xml:space="preserve"> Indicates that hepatitis B virus replication is inhibited and infectivity is reduced. It is normally negative.</w:t>
            </w:r>
          </w:p>
          <w:p w14:paraId="2EFCB76F" w14:textId="77777777" w:rsidR="009967D1" w:rsidRDefault="0080134E">
            <w:r>
              <w:rPr>
                <w:b/>
                <w:bCs/>
              </w:rPr>
              <w:t>临床意义：</w:t>
            </w:r>
            <w:r>
              <w:t>表示乙肝病毒复制受抑制，传染性降低，正常为阴性。</w:t>
            </w:r>
          </w:p>
        </w:tc>
      </w:tr>
    </w:tbl>
    <w:p w14:paraId="54256A09" w14:textId="77777777" w:rsidR="009967D1" w:rsidRDefault="009967D1" w:rsidP="004619DA">
      <w:pPr>
        <w:pStyle w:val="0"/>
      </w:pPr>
    </w:p>
    <w:p w14:paraId="3A61B62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E241E10" w14:textId="77777777">
        <w:trPr>
          <w:trHeight w:hRule="exact" w:val="113"/>
          <w:jc w:val="center"/>
        </w:trPr>
        <w:tc>
          <w:tcPr>
            <w:tcW w:w="1560" w:type="dxa"/>
            <w:gridSpan w:val="2"/>
            <w:tcBorders>
              <w:top w:val="single" w:sz="4" w:space="0" w:color="auto"/>
            </w:tcBorders>
            <w:vAlign w:val="center"/>
          </w:tcPr>
          <w:p w14:paraId="51960308"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2FF3655"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3D407F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84335B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570EF9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8A57270" w14:textId="77777777" w:rsidR="009967D1" w:rsidRDefault="009967D1">
            <w:pPr>
              <w:spacing w:line="300" w:lineRule="exact"/>
              <w:jc w:val="right"/>
              <w:rPr>
                <w:color w:val="323E4F" w:themeColor="text2" w:themeShade="BF"/>
                <w:sz w:val="2"/>
                <w:szCs w:val="2"/>
              </w:rPr>
            </w:pPr>
          </w:p>
        </w:tc>
      </w:tr>
      <w:tr w:rsidR="009967D1" w14:paraId="4196ED7D" w14:textId="77777777">
        <w:trPr>
          <w:trHeight w:val="432"/>
          <w:jc w:val="center"/>
        </w:trPr>
        <w:tc>
          <w:tcPr>
            <w:tcW w:w="1150" w:type="dxa"/>
            <w:vAlign w:val="center"/>
          </w:tcPr>
          <w:p w14:paraId="3AA20A74" w14:textId="77777777" w:rsidR="009967D1" w:rsidRDefault="0080134E">
            <w:pPr>
              <w:spacing w:line="400" w:lineRule="exact"/>
              <w:jc w:val="center"/>
              <w:rPr>
                <w:b/>
                <w:bCs/>
                <w:color w:val="000000" w:themeColor="text1"/>
                <w:sz w:val="24"/>
              </w:rPr>
            </w:pPr>
            <w:r>
              <w:rPr>
                <w:rFonts w:hint="eastAsia"/>
                <w:b/>
                <w:bCs/>
                <w:color w:val="000000" w:themeColor="text1"/>
                <w:sz w:val="24"/>
              </w:rPr>
              <w:t>HBcAb</w:t>
            </w:r>
          </w:p>
        </w:tc>
        <w:tc>
          <w:tcPr>
            <w:tcW w:w="2536" w:type="dxa"/>
            <w:gridSpan w:val="2"/>
            <w:vAlign w:val="center"/>
          </w:tcPr>
          <w:p w14:paraId="7577D848" w14:textId="77777777" w:rsidR="009967D1" w:rsidRDefault="0080134E">
            <w:pPr>
              <w:spacing w:line="400" w:lineRule="exact"/>
              <w:jc w:val="center"/>
              <w:rPr>
                <w:b/>
                <w:bCs/>
                <w:color w:val="000000" w:themeColor="text1"/>
                <w:sz w:val="24"/>
              </w:rPr>
            </w:pPr>
            <w:r>
              <w:rPr>
                <w:rFonts w:hint="eastAsia"/>
                <w:b/>
                <w:bCs/>
                <w:color w:val="000000" w:themeColor="text1"/>
                <w:sz w:val="24"/>
              </w:rPr>
              <w:t>乙肝核心抗体</w:t>
            </w:r>
          </w:p>
        </w:tc>
        <w:tc>
          <w:tcPr>
            <w:tcW w:w="1754" w:type="dxa"/>
            <w:gridSpan w:val="2"/>
            <w:vAlign w:val="center"/>
          </w:tcPr>
          <w:p>
            <w:r>
              <w:t>{{HBCAB_result}}</w:t>
            </w:r>
          </w:p>
        </w:tc>
        <w:tc>
          <w:tcPr>
            <w:tcW w:w="825" w:type="dxa"/>
            <w:gridSpan w:val="2"/>
            <w:vAlign w:val="center"/>
          </w:tcPr>
          <w:p>
            <w:r>
              <w:t>{{HBCAB_point}}</w:t>
            </w:r>
          </w:p>
        </w:tc>
        <w:tc>
          <w:tcPr>
            <w:tcW w:w="1980" w:type="dxa"/>
            <w:gridSpan w:val="2"/>
            <w:vAlign w:val="center"/>
          </w:tcPr>
          <w:p>
            <w:r>
              <w:t>{{HBCAB_refer}}</w:t>
            </w:r>
          </w:p>
        </w:tc>
        <w:tc>
          <w:tcPr>
            <w:tcW w:w="1408" w:type="dxa"/>
            <w:gridSpan w:val="2"/>
            <w:vAlign w:val="center"/>
          </w:tcPr>
          <w:p>
            <w:r>
              <w:t>{{HBCAB_unit}}</w:t>
            </w:r>
          </w:p>
        </w:tc>
      </w:tr>
      <w:tr w:rsidR="009967D1" w14:paraId="793B0C1A" w14:textId="77777777">
        <w:trPr>
          <w:trHeight w:val="1651"/>
          <w:jc w:val="center"/>
        </w:trPr>
        <w:tc>
          <w:tcPr>
            <w:tcW w:w="9653" w:type="dxa"/>
            <w:gridSpan w:val="11"/>
            <w:vAlign w:val="center"/>
          </w:tcPr>
          <w:p w14:paraId="56219A04" w14:textId="77777777" w:rsidR="009967D1" w:rsidRDefault="009967D1"/>
          <w:p w14:paraId="621E81D7" w14:textId="77777777" w:rsidR="009967D1" w:rsidRDefault="0080134E">
            <w:r>
              <w:rPr>
                <w:b/>
                <w:bCs/>
              </w:rPr>
              <w:t>Clinical Significance:</w:t>
            </w:r>
            <w:r>
              <w:t xml:space="preserve"> It is a marker of hepatitis B virus infection. </w:t>
            </w:r>
            <w:proofErr w:type="gramStart"/>
            <w:r>
              <w:t>As long as</w:t>
            </w:r>
            <w:proofErr w:type="gramEnd"/>
            <w:r>
              <w:t xml:space="preserve"> the hepatitis B virus has been infected (whether current infection or past infection), the core antibody is mostly positive. It is normally negative.</w:t>
            </w:r>
          </w:p>
          <w:p w14:paraId="4767EEA5" w14:textId="77777777" w:rsidR="009967D1" w:rsidRDefault="0080134E">
            <w:r>
              <w:rPr>
                <w:b/>
                <w:bCs/>
              </w:rPr>
              <w:t>临床意义：</w:t>
            </w:r>
            <w:r>
              <w:t>是乙肝病毒感染的标志，只要感染过乙肝病毒（无论现症感染还是既往感染），核心抗体多为阳性，正常为阴性。</w:t>
            </w:r>
          </w:p>
        </w:tc>
      </w:tr>
    </w:tbl>
    <w:p w14:paraId="694C2B51" w14:textId="77777777" w:rsidR="009967D1" w:rsidRDefault="009967D1" w:rsidP="004619DA">
      <w:pPr>
        <w:pStyle w:val="0"/>
      </w:pPr>
    </w:p>
    <w:p w14:paraId="2A26B598"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A064AFE" w14:textId="77777777">
        <w:trPr>
          <w:trHeight w:hRule="exact" w:val="113"/>
          <w:jc w:val="center"/>
        </w:trPr>
        <w:tc>
          <w:tcPr>
            <w:tcW w:w="1560" w:type="dxa"/>
            <w:gridSpan w:val="2"/>
            <w:tcBorders>
              <w:top w:val="single" w:sz="4" w:space="0" w:color="auto"/>
            </w:tcBorders>
            <w:vAlign w:val="center"/>
          </w:tcPr>
          <w:p w14:paraId="2A1142AA"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337414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9D14D7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D9598E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F18E656"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9493F19" w14:textId="77777777" w:rsidR="009967D1" w:rsidRDefault="009967D1">
            <w:pPr>
              <w:spacing w:line="300" w:lineRule="exact"/>
              <w:jc w:val="right"/>
              <w:rPr>
                <w:color w:val="323E4F" w:themeColor="text2" w:themeShade="BF"/>
                <w:sz w:val="2"/>
                <w:szCs w:val="2"/>
              </w:rPr>
            </w:pPr>
          </w:p>
        </w:tc>
      </w:tr>
      <w:tr w:rsidR="009967D1" w14:paraId="07BA14FC" w14:textId="77777777">
        <w:trPr>
          <w:trHeight w:val="432"/>
          <w:jc w:val="center"/>
        </w:trPr>
        <w:tc>
          <w:tcPr>
            <w:tcW w:w="1150" w:type="dxa"/>
            <w:vAlign w:val="center"/>
          </w:tcPr>
          <w:p w14:paraId="3E77D2DB" w14:textId="77777777" w:rsidR="009967D1" w:rsidRDefault="0080134E">
            <w:pPr>
              <w:spacing w:line="400" w:lineRule="exact"/>
              <w:jc w:val="center"/>
              <w:rPr>
                <w:b/>
                <w:bCs/>
                <w:color w:val="000000" w:themeColor="text1"/>
                <w:sz w:val="24"/>
              </w:rPr>
            </w:pPr>
            <w:r>
              <w:rPr>
                <w:rFonts w:hint="eastAsia"/>
                <w:b/>
                <w:bCs/>
                <w:color w:val="000000" w:themeColor="text1"/>
                <w:sz w:val="24"/>
              </w:rPr>
              <w:t>HCV - IgM</w:t>
            </w:r>
          </w:p>
        </w:tc>
        <w:tc>
          <w:tcPr>
            <w:tcW w:w="2536" w:type="dxa"/>
            <w:gridSpan w:val="2"/>
            <w:vAlign w:val="center"/>
          </w:tcPr>
          <w:p w14:paraId="15E0FA92" w14:textId="77777777" w:rsidR="009967D1" w:rsidRDefault="0080134E">
            <w:pPr>
              <w:spacing w:line="400" w:lineRule="exact"/>
              <w:jc w:val="center"/>
              <w:rPr>
                <w:b/>
                <w:bCs/>
                <w:color w:val="000000" w:themeColor="text1"/>
                <w:sz w:val="24"/>
              </w:rPr>
            </w:pPr>
            <w:r>
              <w:rPr>
                <w:rFonts w:hint="eastAsia"/>
                <w:b/>
                <w:bCs/>
                <w:color w:val="000000" w:themeColor="text1"/>
                <w:sz w:val="24"/>
              </w:rPr>
              <w:t>丙型肝炎病毒抗体IgM</w:t>
            </w:r>
          </w:p>
        </w:tc>
        <w:tc>
          <w:tcPr>
            <w:tcW w:w="1754" w:type="dxa"/>
            <w:gridSpan w:val="2"/>
            <w:vAlign w:val="center"/>
          </w:tcPr>
          <w:p>
            <w:r>
              <w:t>{{HCV_IGM_result}}</w:t>
            </w:r>
          </w:p>
        </w:tc>
        <w:tc>
          <w:tcPr>
            <w:tcW w:w="825" w:type="dxa"/>
            <w:gridSpan w:val="2"/>
            <w:vAlign w:val="center"/>
          </w:tcPr>
          <w:p>
            <w:r>
              <w:t>{{HCV_IGM_point}}</w:t>
            </w:r>
          </w:p>
        </w:tc>
        <w:tc>
          <w:tcPr>
            <w:tcW w:w="1980" w:type="dxa"/>
            <w:gridSpan w:val="2"/>
            <w:vAlign w:val="center"/>
          </w:tcPr>
          <w:p>
            <w:r>
              <w:t>{{HCV_IGM_refer}}</w:t>
            </w:r>
          </w:p>
        </w:tc>
        <w:tc>
          <w:tcPr>
            <w:tcW w:w="1408" w:type="dxa"/>
            <w:gridSpan w:val="2"/>
            <w:vAlign w:val="center"/>
          </w:tcPr>
          <w:p>
            <w:r>
              <w:t>{{HCV_IGM_unit}}</w:t>
            </w:r>
          </w:p>
        </w:tc>
      </w:tr>
      <w:tr w:rsidR="009967D1" w14:paraId="66CAD448" w14:textId="77777777">
        <w:trPr>
          <w:trHeight w:val="1651"/>
          <w:jc w:val="center"/>
        </w:trPr>
        <w:tc>
          <w:tcPr>
            <w:tcW w:w="9653" w:type="dxa"/>
            <w:gridSpan w:val="11"/>
            <w:vAlign w:val="center"/>
          </w:tcPr>
          <w:p w14:paraId="08C3A9DE" w14:textId="77777777" w:rsidR="009967D1" w:rsidRDefault="009967D1"/>
          <w:p w14:paraId="55586477" w14:textId="77777777" w:rsidR="009967D1" w:rsidRDefault="0080134E">
            <w:r>
              <w:rPr>
                <w:b/>
                <w:bCs/>
              </w:rPr>
              <w:t>Clinical Significance:</w:t>
            </w:r>
            <w:r>
              <w:t xml:space="preserve"> Used for the diagnosis and condition monitoring of acute hepatitis C virus (HCV) infection. It is normally negative.</w:t>
            </w:r>
          </w:p>
          <w:p w14:paraId="3B1319A0" w14:textId="77777777" w:rsidR="009967D1" w:rsidRDefault="0080134E">
            <w:r>
              <w:rPr>
                <w:b/>
                <w:bCs/>
              </w:rPr>
              <w:t>临床意义：</w:t>
            </w:r>
            <w:r>
              <w:t>用于丙肝病毒（HCV）急性感染的诊断、病情监测，正常为阴性。</w:t>
            </w:r>
          </w:p>
        </w:tc>
      </w:tr>
    </w:tbl>
    <w:p w14:paraId="0E3EC11A" w14:textId="77777777" w:rsidR="009967D1" w:rsidRDefault="009967D1" w:rsidP="004619DA">
      <w:pPr>
        <w:pStyle w:val="0"/>
      </w:pPr>
    </w:p>
    <w:p w14:paraId="1882A7FD"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3CE04DBD" w14:textId="7F0B2AFF" w:rsidR="009967D1" w:rsidRDefault="004F05BD" w:rsidP="004F05BD">
      <w:pPr>
        <w:pStyle w:val="3-"/>
      </w:pPr>
      <w:r w:rsidRPr="004F05BD">
        <w:lastRenderedPageBreak/>
        <w:t>Serum Electrolytes</w:t>
      </w:r>
      <w:r>
        <w:br/>
      </w:r>
      <w:r w:rsidR="0080134E">
        <w:rPr>
          <w:rFonts w:hint="eastAsia"/>
        </w:rPr>
        <w:t>血电解质</w:t>
      </w:r>
    </w:p>
    <w:p w14:paraId="4357CE45" w14:textId="77777777" w:rsidR="00835FCA" w:rsidRPr="00835FCA" w:rsidRDefault="00835FCA" w:rsidP="00835FCA">
      <w:pPr>
        <w:pStyle w:val="0"/>
      </w:pPr>
    </w:p>
    <w:p w14:paraId="3CAC09BD" w14:textId="602FEECF" w:rsidR="00F600AE" w:rsidRDefault="00F600AE" w:rsidP="00F600AE">
      <w:pPr>
        <w:pStyle w:val="00"/>
      </w:pPr>
      <w:r w:rsidRPr="00F600AE">
        <w:t>Serum electrolytes testing is an essential laboratory assessment for evaluating the stability of the body’s internal environment and metabolic balance. It primarily measures the levels of potassium (K</w:t>
      </w:r>
      <w:r w:rsidRPr="00F600AE">
        <w:rPr>
          <w:rFonts w:ascii="Cambria Math" w:hAnsi="Cambria Math" w:cs="Cambria Math"/>
        </w:rPr>
        <w:t>⁺</w:t>
      </w:r>
      <w:r w:rsidRPr="00F600AE">
        <w:t>), sodium (Na</w:t>
      </w:r>
      <w:r w:rsidRPr="00F600AE">
        <w:rPr>
          <w:rFonts w:ascii="Cambria Math" w:hAnsi="Cambria Math" w:cs="Cambria Math"/>
        </w:rPr>
        <w:t>⁺</w:t>
      </w:r>
      <w:r w:rsidRPr="00F600AE">
        <w:t>), chloride (Cl</w:t>
      </w:r>
      <w:r w:rsidRPr="00F600AE">
        <w:rPr>
          <w:rFonts w:ascii="Cambria Math" w:hAnsi="Cambria Math" w:cs="Cambria Math"/>
        </w:rPr>
        <w:t>⁻</w:t>
      </w:r>
      <w:r w:rsidRPr="00F600AE">
        <w:t>), calcium (Ca²</w:t>
      </w:r>
      <w:r w:rsidRPr="00F600AE">
        <w:rPr>
          <w:rFonts w:ascii="Cambria Math" w:hAnsi="Cambria Math" w:cs="Cambria Math"/>
        </w:rPr>
        <w:t>⁺</w:t>
      </w:r>
      <w:r w:rsidRPr="00F600AE">
        <w:t>), magnesium (Mg²</w:t>
      </w:r>
      <w:r w:rsidRPr="00F600AE">
        <w:rPr>
          <w:rFonts w:ascii="Cambria Math" w:hAnsi="Cambria Math" w:cs="Cambria Math"/>
        </w:rPr>
        <w:t>⁺</w:t>
      </w:r>
      <w:r w:rsidRPr="00F600AE">
        <w:t>), and phosphate (P). These electrolytes are fundamental to physiological processes such as nerve conduction, muscle contraction, cardiac rhythm regulation, bone metabolism, and energy production. Even slight imbalances can result in arrhythmias, muscle cramps, seizures, or life-threatening complications.</w:t>
      </w:r>
    </w:p>
    <w:p w14:paraId="5DC4E443" w14:textId="3DB3FADF" w:rsidR="004F05BD" w:rsidRDefault="004F05BD" w:rsidP="004F05BD">
      <w:pPr>
        <w:pStyle w:val="0"/>
      </w:pPr>
      <w:r>
        <w:t>血电解质检测是临床上评估机体内环境稳定性与代谢平衡的重要检查项目，主要检测</w:t>
      </w:r>
      <w:r>
        <w:t xml:space="preserve"> </w:t>
      </w:r>
      <w:r>
        <w:t>钾、钠、氯、钙、镁、磷</w:t>
      </w:r>
      <w:r>
        <w:t xml:space="preserve"> </w:t>
      </w:r>
      <w:r>
        <w:t>等无机盐离子水平。这些电解质广泛参与神经传导、肌肉收缩、心脏节律调节、骨骼与能量代谢，是维持生命活动的基础。任何轻微的电解质失衡，都可能引起心律不齐、肌肉痉挛、抽搐甚至危及生命。</w:t>
      </w:r>
    </w:p>
    <w:p w14:paraId="6575C97C" w14:textId="118D5821" w:rsidR="004F05BD" w:rsidRDefault="00F600AE" w:rsidP="00F600AE">
      <w:pPr>
        <w:pStyle w:val="00"/>
      </w:pPr>
      <w:r w:rsidRPr="00F600AE">
        <w:t>Clinically, electrolyte testing helps identify and assess a wide range of conditions. Sodium and chloride reflect water-salt balance and osmotic pressure, abnormalities of which are commonly seen in dehydration, kidney disease, or endocrine disorders. Potassium is crucial for cardiac electrical activity, with both hyperkalemia and hypokalemia posing risks of severe arrhythmias. Calcium and phosphate are key indicators of bone metabolism and endocrine function, closely linked to parathyroid hormone and vitamin D metabolism. Magnesium regulates neuromuscular conduction and plays a vital role in preventing seizures, arrhythmias, and metabolic disorders.</w:t>
      </w:r>
    </w:p>
    <w:p w14:paraId="72BF9081" w14:textId="77777777" w:rsidR="004F05BD" w:rsidRDefault="004F05BD" w:rsidP="004F05BD">
      <w:pPr>
        <w:pStyle w:val="0"/>
      </w:pPr>
      <w:r>
        <w:t>在临床应用中，血电解质检测有助于发现和评估多种疾病状态。钠和氯反映机体水盐代谢与渗透压平衡，异常常见于脱水、肾病、内分泌疾病等；钾离子对心脏电活动至关重要，过高或过低均可能诱发严重心律失常；钙和磷是骨骼代谢和内分泌功能的重要指标，也与甲状旁腺及维生素</w:t>
      </w:r>
      <w:r>
        <w:t>D</w:t>
      </w:r>
      <w:r>
        <w:t>代谢密切相关；镁离子在神经肌肉传导中具有调节作用，对预防抽搐、心律失常以及代谢性疾病尤为关键。</w:t>
      </w:r>
    </w:p>
    <w:p w14:paraId="3A17ABBC" w14:textId="29535CF6" w:rsidR="004F05BD" w:rsidRDefault="00F600AE" w:rsidP="00F600AE">
      <w:pPr>
        <w:pStyle w:val="00"/>
      </w:pPr>
      <w:r w:rsidRPr="00F600AE">
        <w:t>In preventive healthcare, electrolyte testing not only aids in disease diagnosis but also serves as an important marker of nutritional status and lifestyle impact. Regular monitoring can help detect potential imbalances caused by poor diet, chronic stress, medication use (e.g., diuretics), or chronic illnesses. For athletes, the elderly, individuals with chronic conditions, or those in suboptimal health, electrolyte testing is especially valuable in preventing cardiovascular events, osteoporosis, and metabolic disorders.</w:t>
      </w:r>
    </w:p>
    <w:p w14:paraId="39242357" w14:textId="5B808412" w:rsidR="004F05BD" w:rsidRDefault="004F05BD" w:rsidP="004F05BD">
      <w:pPr>
        <w:pStyle w:val="0"/>
      </w:pPr>
      <w:r>
        <w:t>在健康管理中，血电解质检测不仅用于诊断疾病，还能作为营养状态与生活方式评估的重要依据。通过定期监测，可以发现由于饮食不均衡、长期压力、药物使用（如利尿剂）、慢性疾病等引起的潜在电解质紊乱。对运动人群、老年人、慢性病患者及长期亚健康状态者而言，该检测尤为重要，可用于预防心血管事件、骨质疏松和代谢性疾病。</w:t>
      </w:r>
    </w:p>
    <w:p w14:paraId="3A6C847E" w14:textId="1C0CCBB6" w:rsidR="004F05BD" w:rsidRDefault="00272239" w:rsidP="004F05BD">
      <w:pPr>
        <w:pStyle w:val="0"/>
      </w:pPr>
      <w:r w:rsidRPr="009E1205">
        <w:rPr>
          <w:noProof/>
        </w:rPr>
        <w:drawing>
          <wp:anchor distT="0" distB="0" distL="114300" distR="114300" simplePos="0" relativeHeight="251676672" behindDoc="0" locked="0" layoutInCell="1" allowOverlap="1" wp14:anchorId="31EFC375" wp14:editId="64A37F51">
            <wp:simplePos x="0" y="0"/>
            <wp:positionH relativeFrom="column">
              <wp:posOffset>1857</wp:posOffset>
            </wp:positionH>
            <wp:positionV relativeFrom="paragraph">
              <wp:posOffset>-1238</wp:posOffset>
            </wp:positionV>
            <wp:extent cx="6080125" cy="1706245"/>
            <wp:effectExtent l="0" t="0" r="3175" b="0"/>
            <wp:wrapNone/>
            <wp:docPr id="15007450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745000" name="图片 1"/>
                    <pic:cNvPicPr/>
                  </pic:nvPicPr>
                  <pic:blipFill rotWithShape="1">
                    <a:blip r:embed="rId20">
                      <a:extLst>
                        <a:ext uri="{28A0092B-C50C-407E-A947-70E740481C1C}">
                          <a14:useLocalDpi xmlns:a14="http://schemas.microsoft.com/office/drawing/2010/main" val="0"/>
                        </a:ext>
                      </a:extLst>
                    </a:blip>
                    <a:srcRect t="3036" b="48956"/>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DEDECFF" w14:textId="77777777" w:rsidR="004F05BD" w:rsidRPr="004F05BD" w:rsidRDefault="004F05BD" w:rsidP="004F05BD">
      <w:pPr>
        <w:pStyle w:val="0"/>
      </w:pPr>
    </w:p>
    <w:p w14:paraId="041313E5" w14:textId="77777777" w:rsidR="009967D1" w:rsidRDefault="0080134E">
      <w:pPr>
        <w:widowControl/>
        <w:jc w:val="left"/>
      </w:pPr>
      <w:r>
        <w:br w:type="page"/>
      </w:r>
    </w:p>
    <w:p w14:paraId="6AEEEF90"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C05B719" w14:textId="77777777">
        <w:trPr>
          <w:trHeight w:val="839"/>
          <w:jc w:val="center"/>
        </w:trPr>
        <w:tc>
          <w:tcPr>
            <w:tcW w:w="1150" w:type="dxa"/>
            <w:tcBorders>
              <w:top w:val="single" w:sz="4" w:space="0" w:color="auto"/>
              <w:bottom w:val="single" w:sz="4" w:space="0" w:color="auto"/>
            </w:tcBorders>
            <w:vAlign w:val="center"/>
          </w:tcPr>
          <w:p w14:paraId="6B694A1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414B5773"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0266B89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39C3215D"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0DE3B75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73FD6B2E"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613D4C7F" w14:textId="77777777">
        <w:trPr>
          <w:trHeight w:val="1111"/>
          <w:jc w:val="center"/>
        </w:trPr>
        <w:tc>
          <w:tcPr>
            <w:tcW w:w="9653" w:type="dxa"/>
            <w:gridSpan w:val="11"/>
            <w:tcBorders>
              <w:top w:val="single" w:sz="4" w:space="0" w:color="auto"/>
              <w:bottom w:val="single" w:sz="4" w:space="0" w:color="auto"/>
            </w:tcBorders>
            <w:vAlign w:val="center"/>
          </w:tcPr>
          <w:p w14:paraId="624E2FCB"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Serum Electrolytes</w:t>
            </w:r>
          </w:p>
          <w:p w14:paraId="6C8C664B"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血电解质</w:t>
            </w:r>
          </w:p>
        </w:tc>
      </w:tr>
      <w:tr w:rsidR="009967D1" w14:paraId="60C55930" w14:textId="77777777">
        <w:trPr>
          <w:trHeight w:hRule="exact" w:val="113"/>
          <w:jc w:val="center"/>
        </w:trPr>
        <w:tc>
          <w:tcPr>
            <w:tcW w:w="1560" w:type="dxa"/>
            <w:gridSpan w:val="2"/>
            <w:tcBorders>
              <w:top w:val="single" w:sz="4" w:space="0" w:color="auto"/>
            </w:tcBorders>
            <w:vAlign w:val="center"/>
          </w:tcPr>
          <w:p w14:paraId="07AC8AB8"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1525B83"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F8D599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CB243F3"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DE5CDF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41C67C2" w14:textId="77777777" w:rsidR="009967D1" w:rsidRDefault="009967D1">
            <w:pPr>
              <w:spacing w:line="300" w:lineRule="exact"/>
              <w:jc w:val="right"/>
              <w:rPr>
                <w:color w:val="323E4F" w:themeColor="text2" w:themeShade="BF"/>
                <w:sz w:val="2"/>
                <w:szCs w:val="2"/>
              </w:rPr>
            </w:pPr>
          </w:p>
        </w:tc>
      </w:tr>
      <w:tr w:rsidR="009967D1" w14:paraId="7C75EC49" w14:textId="77777777">
        <w:trPr>
          <w:trHeight w:val="432"/>
          <w:jc w:val="center"/>
        </w:trPr>
        <w:tc>
          <w:tcPr>
            <w:tcW w:w="1150" w:type="dxa"/>
            <w:vAlign w:val="center"/>
          </w:tcPr>
          <w:p w14:paraId="0DFB6CDE" w14:textId="77777777" w:rsidR="009967D1" w:rsidRDefault="0080134E">
            <w:pPr>
              <w:spacing w:line="400" w:lineRule="exact"/>
              <w:jc w:val="center"/>
              <w:rPr>
                <w:b/>
                <w:bCs/>
                <w:color w:val="000000" w:themeColor="text1"/>
                <w:sz w:val="24"/>
              </w:rPr>
            </w:pPr>
            <w:r>
              <w:rPr>
                <w:rFonts w:hint="eastAsia"/>
                <w:b/>
                <w:bCs/>
                <w:color w:val="000000" w:themeColor="text1"/>
                <w:sz w:val="24"/>
              </w:rPr>
              <w:t>Kalium</w:t>
            </w:r>
          </w:p>
        </w:tc>
        <w:tc>
          <w:tcPr>
            <w:tcW w:w="2536" w:type="dxa"/>
            <w:gridSpan w:val="2"/>
            <w:vAlign w:val="center"/>
          </w:tcPr>
          <w:p w14:paraId="018C3FBE" w14:textId="77777777" w:rsidR="009967D1" w:rsidRDefault="0080134E">
            <w:pPr>
              <w:spacing w:line="400" w:lineRule="exact"/>
              <w:jc w:val="center"/>
              <w:rPr>
                <w:b/>
                <w:bCs/>
                <w:color w:val="000000" w:themeColor="text1"/>
                <w:sz w:val="24"/>
              </w:rPr>
            </w:pPr>
            <w:r>
              <w:rPr>
                <w:rFonts w:hint="eastAsia"/>
                <w:b/>
                <w:bCs/>
                <w:color w:val="000000" w:themeColor="text1"/>
                <w:sz w:val="24"/>
              </w:rPr>
              <w:t>钾（K+）</w:t>
            </w:r>
          </w:p>
        </w:tc>
        <w:tc>
          <w:tcPr>
            <w:tcW w:w="1754" w:type="dxa"/>
            <w:gridSpan w:val="2"/>
            <w:vAlign w:val="center"/>
          </w:tcPr>
          <w:p>
            <w:r>
              <w:t>{{KALIUM_result}}</w:t>
            </w:r>
          </w:p>
        </w:tc>
        <w:tc>
          <w:tcPr>
            <w:tcW w:w="825" w:type="dxa"/>
            <w:gridSpan w:val="2"/>
            <w:vAlign w:val="center"/>
          </w:tcPr>
          <w:p>
            <w:r>
              <w:t>{{KALIUM_point}}</w:t>
            </w:r>
          </w:p>
        </w:tc>
        <w:tc>
          <w:tcPr>
            <w:tcW w:w="1980" w:type="dxa"/>
            <w:gridSpan w:val="2"/>
            <w:vAlign w:val="center"/>
          </w:tcPr>
          <w:p>
            <w:r>
              <w:t>{{KALIUM_refer}}</w:t>
            </w:r>
          </w:p>
        </w:tc>
        <w:tc>
          <w:tcPr>
            <w:tcW w:w="1408" w:type="dxa"/>
            <w:gridSpan w:val="2"/>
            <w:vAlign w:val="center"/>
          </w:tcPr>
          <w:p>
            <w:r>
              <w:t>{{KALIUM_unit}}</w:t>
            </w:r>
          </w:p>
        </w:tc>
      </w:tr>
      <w:tr w:rsidR="009967D1" w14:paraId="64772DC6" w14:textId="77777777">
        <w:trPr>
          <w:trHeight w:val="1651"/>
          <w:jc w:val="center"/>
        </w:trPr>
        <w:tc>
          <w:tcPr>
            <w:tcW w:w="9653" w:type="dxa"/>
            <w:gridSpan w:val="11"/>
            <w:vAlign w:val="center"/>
          </w:tcPr>
          <w:p w14:paraId="52F6B689" w14:textId="77777777" w:rsidR="009967D1" w:rsidRDefault="009967D1"/>
          <w:p w14:paraId="5DC595F0" w14:textId="77777777" w:rsidR="009967D1" w:rsidRDefault="0080134E">
            <w:r>
              <w:rPr>
                <w:b/>
                <w:bCs/>
              </w:rPr>
              <w:t>Clinical Significance:</w:t>
            </w:r>
            <w:r>
              <w:t xml:space="preserve"> Maintains cell physiological functions (such as osmotic pressure, acid - base balance, neuromuscular excitability, etc.</w:t>
            </w:r>
            <w:proofErr w:type="gramStart"/>
            <w:r>
              <w:t>), and</w:t>
            </w:r>
            <w:proofErr w:type="gramEnd"/>
            <w:r>
              <w:t xml:space="preserve"> is particularly important for heart function. The normal serum potassium is 3.5 - 5.5mmol/L.</w:t>
            </w:r>
          </w:p>
          <w:p w14:paraId="0015EECF" w14:textId="77777777" w:rsidR="009967D1" w:rsidRDefault="0080134E">
            <w:r>
              <w:rPr>
                <w:b/>
                <w:bCs/>
              </w:rPr>
              <w:t>临床意义：</w:t>
            </w:r>
            <w:r>
              <w:t>维持细胞生理功能（如渗透压、酸碱平衡、神经肌肉兴奋性等），对心脏功能尤其重要，正常血清钾3.5-5.5mmol/L。</w:t>
            </w:r>
          </w:p>
        </w:tc>
      </w:tr>
      <w:tr w:rsidR="009967D1" w14:paraId="7C75EC49" w14:textId="77777777">
        <w:trPr>
          <w:trHeight w:val="432"/>
          <w:jc w:val="center"/>
        </w:trPr>
        <w:tc>
          <w:tcPr>
            <w:tcW w:w="1150" w:type="dxa"/>
            <w:vAlign w:val="center"/>
          </w:tcPr>
          <w:p>
            <w:r>
              <w:t>Na</w:t>
            </w:r>
          </w:p>
        </w:tc>
        <w:tc>
          <w:tcPr>
            <w:tcW w:w="2536" w:type="dxa"/>
            <w:gridSpan w:val="2"/>
            <w:vAlign w:val="center"/>
          </w:tcPr>
          <w:p>
            <w:r>
              <w:t>Sodium</w:t>
            </w:r>
          </w:p>
        </w:tc>
        <w:tc>
          <w:tcPr>
            <w:tcW w:w="1754" w:type="dxa"/>
            <w:gridSpan w:val="2"/>
            <w:vAlign w:val="center"/>
          </w:tcPr>
          <w:p>
            <w:r/>
          </w:p>
        </w:tc>
        <w:tc>
          <w:tcPr>
            <w:tcW w:w="825" w:type="dxa"/>
            <w:gridSpan w:val="2"/>
            <w:vAlign w:val="center"/>
          </w:tcPr>
          <w:p>
            <w:r/>
          </w:p>
        </w:tc>
        <w:tc>
          <w:tcPr>
            <w:tcW w:w="1980" w:type="dxa"/>
            <w:gridSpan w:val="2"/>
            <w:vAlign w:val="center"/>
          </w:tcPr>
          <w:p>
            <w:r/>
          </w:p>
        </w:tc>
        <w:tc>
          <w:tcPr>
            <w:tcW w:w="1408" w:type="dxa"/>
            <w:gridSpan w:val="2"/>
            <w:vAlign w:val="center"/>
          </w:tcPr>
          <w:p>
            <w:r/>
          </w:p>
        </w:tc>
      </w:tr>
      <w:tr w:rsidR="009967D1" w14:paraId="7C75EC49" w14:textId="77777777">
        <w:trPr>
          <w:trHeight w:val="432"/>
          <w:jc w:val="center"/>
        </w:trPr>
        <w:tc>
          <w:tcPr>
            <w:tcW w:w="1150" w:type="dxa"/>
            <w:vAlign w:val="center"/>
          </w:tcPr>
          <w:p>
            <w:r>
              <w:t>K</w:t>
            </w:r>
          </w:p>
        </w:tc>
        <w:tc>
          <w:tcPr>
            <w:tcW w:w="2536" w:type="dxa"/>
            <w:gridSpan w:val="2"/>
            <w:vAlign w:val="center"/>
          </w:tcPr>
          <w:p>
            <w:r>
              <w:t>Potassium</w:t>
            </w:r>
          </w:p>
        </w:tc>
        <w:tc>
          <w:tcPr>
            <w:tcW w:w="1754" w:type="dxa"/>
            <w:gridSpan w:val="2"/>
            <w:vAlign w:val="center"/>
          </w:tcPr>
          <w:p>
            <w:r/>
          </w:p>
        </w:tc>
        <w:tc>
          <w:tcPr>
            <w:tcW w:w="825" w:type="dxa"/>
            <w:gridSpan w:val="2"/>
            <w:vAlign w:val="center"/>
          </w:tcPr>
          <w:p>
            <w:r/>
          </w:p>
        </w:tc>
        <w:tc>
          <w:tcPr>
            <w:tcW w:w="1980" w:type="dxa"/>
            <w:gridSpan w:val="2"/>
            <w:vAlign w:val="center"/>
          </w:tcPr>
          <w:p>
            <w:r/>
          </w:p>
        </w:tc>
        <w:tc>
          <w:tcPr>
            <w:tcW w:w="1408" w:type="dxa"/>
            <w:gridSpan w:val="2"/>
            <w:vAlign w:val="center"/>
          </w:tcPr>
          <w:p>
            <w:r/>
          </w:p>
        </w:tc>
      </w:tr>
      <w:tr w:rsidR="009967D1" w14:paraId="7C75EC49" w14:textId="77777777">
        <w:trPr>
          <w:trHeight w:val="432"/>
          <w:jc w:val="center"/>
        </w:trPr>
        <w:tc>
          <w:tcPr>
            <w:tcW w:w="1150" w:type="dxa"/>
            <w:vAlign w:val="center"/>
          </w:tcPr>
          <w:p>
            <w:r>
              <w:t>Cl</w:t>
            </w:r>
          </w:p>
        </w:tc>
        <w:tc>
          <w:tcPr>
            <w:tcW w:w="2536" w:type="dxa"/>
            <w:gridSpan w:val="2"/>
            <w:vAlign w:val="center"/>
          </w:tcPr>
          <w:p>
            <w:r>
              <w:t>Chloride</w:t>
            </w:r>
          </w:p>
        </w:tc>
        <w:tc>
          <w:tcPr>
            <w:tcW w:w="1754" w:type="dxa"/>
            <w:gridSpan w:val="2"/>
            <w:vAlign w:val="center"/>
          </w:tcPr>
          <w:p>
            <w:r/>
          </w:p>
        </w:tc>
        <w:tc>
          <w:tcPr>
            <w:tcW w:w="825" w:type="dxa"/>
            <w:gridSpan w:val="2"/>
            <w:vAlign w:val="center"/>
          </w:tcPr>
          <w:p>
            <w:r/>
          </w:p>
        </w:tc>
        <w:tc>
          <w:tcPr>
            <w:tcW w:w="1980" w:type="dxa"/>
            <w:gridSpan w:val="2"/>
            <w:vAlign w:val="center"/>
          </w:tcPr>
          <w:p>
            <w:r/>
          </w:p>
        </w:tc>
        <w:tc>
          <w:tcPr>
            <w:tcW w:w="1408" w:type="dxa"/>
            <w:gridSpan w:val="2"/>
            <w:vAlign w:val="center"/>
          </w:tcPr>
          <w:p>
            <w:r/>
          </w:p>
        </w:tc>
      </w:tr>
      <w:tr w:rsidR="009967D1" w14:paraId="7C75EC49" w14:textId="77777777">
        <w:trPr>
          <w:trHeight w:val="432"/>
          <w:jc w:val="center"/>
        </w:trPr>
        <w:tc>
          <w:tcPr>
            <w:tcW w:w="1150" w:type="dxa"/>
            <w:vAlign w:val="center"/>
          </w:tcPr>
          <w:p>
            <w:r>
              <w:t>TCO2</w:t>
            </w:r>
          </w:p>
        </w:tc>
        <w:tc>
          <w:tcPr>
            <w:tcW w:w="2536" w:type="dxa"/>
            <w:gridSpan w:val="2"/>
            <w:vAlign w:val="center"/>
          </w:tcPr>
          <w:p>
            <w:r>
              <w:t>TCO2</w:t>
            </w:r>
          </w:p>
        </w:tc>
        <w:tc>
          <w:tcPr>
            <w:tcW w:w="1754" w:type="dxa"/>
            <w:gridSpan w:val="2"/>
            <w:vAlign w:val="center"/>
          </w:tcPr>
          <w:p>
            <w:r/>
          </w:p>
        </w:tc>
        <w:tc>
          <w:tcPr>
            <w:tcW w:w="825" w:type="dxa"/>
            <w:gridSpan w:val="2"/>
            <w:vAlign w:val="center"/>
          </w:tcPr>
          <w:p>
            <w:r/>
          </w:p>
        </w:tc>
        <w:tc>
          <w:tcPr>
            <w:tcW w:w="1980" w:type="dxa"/>
            <w:gridSpan w:val="2"/>
            <w:vAlign w:val="center"/>
          </w:tcPr>
          <w:p>
            <w:r/>
          </w:p>
        </w:tc>
        <w:tc>
          <w:tcPr>
            <w:tcW w:w="1408" w:type="dxa"/>
            <w:gridSpan w:val="2"/>
            <w:vAlign w:val="center"/>
          </w:tcPr>
          <w:p>
            <w:r/>
          </w:p>
        </w:tc>
      </w:tr>
      <w:tr w:rsidR="009967D1" w14:paraId="7C75EC49" w14:textId="77777777">
        <w:trPr>
          <w:trHeight w:val="432"/>
          <w:jc w:val="center"/>
        </w:trPr>
        <w:tc>
          <w:tcPr>
            <w:tcW w:w="1150" w:type="dxa"/>
            <w:vAlign w:val="center"/>
          </w:tcPr>
          <w:p>
            <w:r>
              <w:t>AG</w:t>
            </w:r>
          </w:p>
        </w:tc>
        <w:tc>
          <w:tcPr>
            <w:tcW w:w="2536" w:type="dxa"/>
            <w:gridSpan w:val="2"/>
            <w:vAlign w:val="center"/>
          </w:tcPr>
          <w:p>
            <w:r>
              <w:t>Anion gap</w:t>
            </w:r>
          </w:p>
        </w:tc>
        <w:tc>
          <w:tcPr>
            <w:tcW w:w="1754" w:type="dxa"/>
            <w:gridSpan w:val="2"/>
            <w:vAlign w:val="center"/>
          </w:tcPr>
          <w:p>
            <w:r/>
          </w:p>
        </w:tc>
        <w:tc>
          <w:tcPr>
            <w:tcW w:w="825" w:type="dxa"/>
            <w:gridSpan w:val="2"/>
            <w:vAlign w:val="center"/>
          </w:tcPr>
          <w:p>
            <w:r/>
          </w:p>
        </w:tc>
        <w:tc>
          <w:tcPr>
            <w:tcW w:w="1980" w:type="dxa"/>
            <w:gridSpan w:val="2"/>
            <w:vAlign w:val="center"/>
          </w:tcPr>
          <w:p>
            <w:r/>
          </w:p>
        </w:tc>
        <w:tc>
          <w:tcPr>
            <w:tcW w:w="1408" w:type="dxa"/>
            <w:gridSpan w:val="2"/>
            <w:vAlign w:val="center"/>
          </w:tcPr>
          <w:p>
            <w:r/>
          </w:p>
        </w:tc>
      </w:tr>
      <w:tr w:rsidR="009967D1" w14:paraId="7C75EC49" w14:textId="77777777">
        <w:trPr>
          <w:trHeight w:val="432"/>
          <w:jc w:val="center"/>
        </w:trPr>
        <w:tc>
          <w:tcPr>
            <w:tcW w:w="1150" w:type="dxa"/>
            <w:vAlign w:val="center"/>
          </w:tcPr>
          <w:p>
            <w:r>
              <w:t>P</w:t>
            </w:r>
          </w:p>
        </w:tc>
        <w:tc>
          <w:tcPr>
            <w:tcW w:w="2536" w:type="dxa"/>
            <w:gridSpan w:val="2"/>
            <w:vAlign w:val="center"/>
          </w:tcPr>
          <w:p>
            <w:r>
              <w:t>Phosphate 磷</w:t>
            </w:r>
          </w:p>
        </w:tc>
        <w:tc>
          <w:tcPr>
            <w:tcW w:w="1754" w:type="dxa"/>
            <w:gridSpan w:val="2"/>
            <w:vAlign w:val="center"/>
          </w:tcPr>
          <w:p>
            <w:r>
              <w:t>3.9</w:t>
            </w:r>
          </w:p>
        </w:tc>
        <w:tc>
          <w:tcPr>
            <w:tcW w:w="825" w:type="dxa"/>
            <w:gridSpan w:val="2"/>
            <w:vAlign w:val="center"/>
          </w:tcPr>
          <w:p>
            <w:r/>
          </w:p>
        </w:tc>
        <w:tc>
          <w:tcPr>
            <w:tcW w:w="1980" w:type="dxa"/>
            <w:gridSpan w:val="2"/>
            <w:vAlign w:val="center"/>
          </w:tcPr>
          <w:p>
            <w:r>
              <w:t>2.5-4.5</w:t>
            </w:r>
          </w:p>
        </w:tc>
        <w:tc>
          <w:tcPr>
            <w:tcW w:w="1408" w:type="dxa"/>
            <w:gridSpan w:val="2"/>
            <w:vAlign w:val="center"/>
          </w:tcPr>
          <w:p>
            <w:r>
              <w:t>mg/dL</w:t>
            </w:r>
          </w:p>
        </w:tc>
      </w:tr>
    </w:tbl>
    <w:p w14:paraId="4B23F613" w14:textId="77777777" w:rsidR="009967D1" w:rsidRDefault="009967D1" w:rsidP="004619DA">
      <w:pPr>
        <w:pStyle w:val="0"/>
      </w:pPr>
    </w:p>
    <w:p w14:paraId="3DA402A8"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920F986" w14:textId="77777777">
        <w:trPr>
          <w:trHeight w:hRule="exact" w:val="113"/>
          <w:jc w:val="center"/>
        </w:trPr>
        <w:tc>
          <w:tcPr>
            <w:tcW w:w="1560" w:type="dxa"/>
            <w:gridSpan w:val="2"/>
            <w:tcBorders>
              <w:top w:val="single" w:sz="4" w:space="0" w:color="auto"/>
            </w:tcBorders>
            <w:vAlign w:val="center"/>
          </w:tcPr>
          <w:p w14:paraId="5806B30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40E349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0051932"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EA44271"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E95DA7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5EBFBA0" w14:textId="77777777" w:rsidR="009967D1" w:rsidRDefault="009967D1">
            <w:pPr>
              <w:spacing w:line="300" w:lineRule="exact"/>
              <w:jc w:val="right"/>
              <w:rPr>
                <w:color w:val="323E4F" w:themeColor="text2" w:themeShade="BF"/>
                <w:sz w:val="2"/>
                <w:szCs w:val="2"/>
              </w:rPr>
            </w:pPr>
          </w:p>
        </w:tc>
      </w:tr>
      <w:tr w:rsidR="009967D1" w14:paraId="5258885B" w14:textId="77777777">
        <w:trPr>
          <w:trHeight w:val="432"/>
          <w:jc w:val="center"/>
        </w:trPr>
        <w:tc>
          <w:tcPr>
            <w:tcW w:w="1150" w:type="dxa"/>
            <w:vAlign w:val="center"/>
          </w:tcPr>
          <w:p w14:paraId="41115FB3" w14:textId="77777777" w:rsidR="009967D1" w:rsidRDefault="0080134E">
            <w:pPr>
              <w:spacing w:line="400" w:lineRule="exact"/>
              <w:jc w:val="center"/>
              <w:rPr>
                <w:b/>
                <w:bCs/>
                <w:color w:val="000000" w:themeColor="text1"/>
                <w:sz w:val="24"/>
              </w:rPr>
            </w:pPr>
            <w:r>
              <w:rPr>
                <w:rFonts w:hint="eastAsia"/>
                <w:b/>
                <w:bCs/>
                <w:color w:val="000000" w:themeColor="text1"/>
                <w:sz w:val="24"/>
              </w:rPr>
              <w:t>Sodium</w:t>
            </w:r>
          </w:p>
        </w:tc>
        <w:tc>
          <w:tcPr>
            <w:tcW w:w="2536" w:type="dxa"/>
            <w:gridSpan w:val="2"/>
            <w:vAlign w:val="center"/>
          </w:tcPr>
          <w:p w14:paraId="52911D95" w14:textId="77777777" w:rsidR="009967D1" w:rsidRDefault="0080134E">
            <w:pPr>
              <w:spacing w:line="400" w:lineRule="exact"/>
              <w:jc w:val="center"/>
              <w:rPr>
                <w:b/>
                <w:bCs/>
                <w:color w:val="000000" w:themeColor="text1"/>
                <w:sz w:val="24"/>
              </w:rPr>
            </w:pPr>
            <w:r>
              <w:rPr>
                <w:rFonts w:hint="eastAsia"/>
                <w:b/>
                <w:bCs/>
                <w:color w:val="000000" w:themeColor="text1"/>
                <w:sz w:val="24"/>
              </w:rPr>
              <w:t>钠（Na+）</w:t>
            </w:r>
          </w:p>
        </w:tc>
        <w:tc>
          <w:tcPr>
            <w:tcW w:w="1754" w:type="dxa"/>
            <w:gridSpan w:val="2"/>
            <w:vAlign w:val="center"/>
          </w:tcPr>
          <w:p w14:paraId="2428C8E1" w14:textId="77777777" w:rsidR="009967D1" w:rsidRDefault="009967D1">
            <w:pPr>
              <w:spacing w:line="400" w:lineRule="exact"/>
              <w:jc w:val="center"/>
              <w:rPr>
                <w:b/>
                <w:bCs/>
                <w:color w:val="000000" w:themeColor="text1"/>
                <w:sz w:val="24"/>
              </w:rPr>
            </w:pPr>
          </w:p>
        </w:tc>
        <w:tc>
          <w:tcPr>
            <w:tcW w:w="825" w:type="dxa"/>
            <w:gridSpan w:val="2"/>
            <w:vAlign w:val="center"/>
          </w:tcPr>
          <w:p w14:paraId="4BAF1ADB" w14:textId="77777777" w:rsidR="009967D1" w:rsidRDefault="009967D1">
            <w:pPr>
              <w:spacing w:line="400" w:lineRule="exact"/>
              <w:jc w:val="center"/>
              <w:rPr>
                <w:b/>
                <w:bCs/>
                <w:color w:val="000000" w:themeColor="text1"/>
                <w:sz w:val="24"/>
              </w:rPr>
            </w:pPr>
          </w:p>
        </w:tc>
        <w:tc>
          <w:tcPr>
            <w:tcW w:w="1980" w:type="dxa"/>
            <w:gridSpan w:val="2"/>
            <w:vAlign w:val="center"/>
          </w:tcPr>
          <w:p w14:paraId="17A62977" w14:textId="77777777" w:rsidR="009967D1" w:rsidRDefault="009967D1">
            <w:pPr>
              <w:spacing w:line="400" w:lineRule="exact"/>
              <w:ind w:firstLineChars="100" w:firstLine="245"/>
              <w:jc w:val="center"/>
              <w:rPr>
                <w:b/>
                <w:bCs/>
                <w:color w:val="000000" w:themeColor="text1"/>
                <w:sz w:val="24"/>
              </w:rPr>
            </w:pPr>
          </w:p>
        </w:tc>
        <w:tc>
          <w:tcPr>
            <w:tcW w:w="1408" w:type="dxa"/>
            <w:gridSpan w:val="2"/>
            <w:vAlign w:val="center"/>
          </w:tcPr>
          <w:p w14:paraId="5C916EE7" w14:textId="77777777" w:rsidR="009967D1" w:rsidRDefault="009967D1">
            <w:pPr>
              <w:spacing w:line="400" w:lineRule="exact"/>
              <w:jc w:val="center"/>
              <w:rPr>
                <w:b/>
                <w:bCs/>
                <w:color w:val="000000" w:themeColor="text1"/>
                <w:sz w:val="24"/>
              </w:rPr>
            </w:pPr>
          </w:p>
        </w:tc>
      </w:tr>
      <w:tr w:rsidR="009967D1" w14:paraId="68F9A012" w14:textId="77777777">
        <w:trPr>
          <w:trHeight w:val="1651"/>
          <w:jc w:val="center"/>
        </w:trPr>
        <w:tc>
          <w:tcPr>
            <w:tcW w:w="9653" w:type="dxa"/>
            <w:gridSpan w:val="11"/>
            <w:vAlign w:val="center"/>
          </w:tcPr>
          <w:p w14:paraId="2973EF3D" w14:textId="77777777" w:rsidR="009967D1" w:rsidRDefault="009967D1"/>
          <w:p w14:paraId="5FADCB61" w14:textId="77777777" w:rsidR="009967D1" w:rsidRDefault="0080134E">
            <w:r>
              <w:rPr>
                <w:b/>
                <w:bCs/>
              </w:rPr>
              <w:t>Clinical Significance:</w:t>
            </w:r>
            <w:r>
              <w:t xml:space="preserve"> Maintains extracellular fluid osmotic pressure, acid - base balance, participates in nerve conduction, maintains blood volume, etc. The normal serum sodium is 135 - 145mmol/L.</w:t>
            </w:r>
          </w:p>
          <w:p w14:paraId="2960285F" w14:textId="77777777" w:rsidR="009967D1" w:rsidRDefault="0080134E">
            <w:r>
              <w:rPr>
                <w:b/>
                <w:bCs/>
              </w:rPr>
              <w:t>临床意义：</w:t>
            </w:r>
            <w:r>
              <w:t>维持细胞外液渗透压、酸碱平衡，参与神经传导、维持血容量等，正常血清钠135-145mmol/L。</w:t>
            </w:r>
          </w:p>
        </w:tc>
      </w:tr>
    </w:tbl>
    <w:p w14:paraId="4B7ED164" w14:textId="77777777" w:rsidR="009967D1" w:rsidRDefault="009967D1" w:rsidP="004619DA">
      <w:pPr>
        <w:pStyle w:val="0"/>
      </w:pPr>
    </w:p>
    <w:p w14:paraId="5B33D706"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A23758D" w14:textId="77777777">
        <w:trPr>
          <w:trHeight w:hRule="exact" w:val="113"/>
          <w:jc w:val="center"/>
        </w:trPr>
        <w:tc>
          <w:tcPr>
            <w:tcW w:w="1560" w:type="dxa"/>
            <w:gridSpan w:val="2"/>
            <w:tcBorders>
              <w:top w:val="single" w:sz="4" w:space="0" w:color="auto"/>
            </w:tcBorders>
            <w:vAlign w:val="center"/>
          </w:tcPr>
          <w:p w14:paraId="6ECCD80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38825A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919A92C"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87BE296"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3B07A05"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445F060" w14:textId="77777777" w:rsidR="009967D1" w:rsidRDefault="009967D1">
            <w:pPr>
              <w:spacing w:line="300" w:lineRule="exact"/>
              <w:jc w:val="right"/>
              <w:rPr>
                <w:color w:val="323E4F" w:themeColor="text2" w:themeShade="BF"/>
                <w:sz w:val="2"/>
                <w:szCs w:val="2"/>
              </w:rPr>
            </w:pPr>
          </w:p>
        </w:tc>
      </w:tr>
      <w:tr w:rsidR="009967D1" w14:paraId="111E4659" w14:textId="77777777">
        <w:trPr>
          <w:trHeight w:val="432"/>
          <w:jc w:val="center"/>
        </w:trPr>
        <w:tc>
          <w:tcPr>
            <w:tcW w:w="1150" w:type="dxa"/>
            <w:vAlign w:val="center"/>
          </w:tcPr>
          <w:p w14:paraId="3D61AAE4"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Chloride </w:t>
            </w:r>
          </w:p>
        </w:tc>
        <w:tc>
          <w:tcPr>
            <w:tcW w:w="2536" w:type="dxa"/>
            <w:gridSpan w:val="2"/>
            <w:vAlign w:val="center"/>
          </w:tcPr>
          <w:p w14:paraId="66E5D2A7" w14:textId="77777777" w:rsidR="009967D1" w:rsidRDefault="0080134E">
            <w:pPr>
              <w:spacing w:line="400" w:lineRule="exact"/>
              <w:jc w:val="center"/>
              <w:rPr>
                <w:b/>
                <w:bCs/>
                <w:color w:val="000000" w:themeColor="text1"/>
                <w:sz w:val="24"/>
              </w:rPr>
            </w:pPr>
            <w:r>
              <w:rPr>
                <w:rFonts w:hint="eastAsia"/>
                <w:b/>
                <w:bCs/>
                <w:color w:val="000000" w:themeColor="text1"/>
                <w:sz w:val="24"/>
              </w:rPr>
              <w:t>氯（Cl -）</w:t>
            </w:r>
          </w:p>
        </w:tc>
        <w:tc>
          <w:tcPr>
            <w:tcW w:w="1754" w:type="dxa"/>
            <w:gridSpan w:val="2"/>
            <w:vAlign w:val="center"/>
          </w:tcPr>
          <w:p w14:paraId="19CF4B1A" w14:textId="77777777" w:rsidR="009967D1" w:rsidRDefault="009967D1">
            <w:pPr>
              <w:spacing w:line="400" w:lineRule="exact"/>
              <w:jc w:val="center"/>
              <w:rPr>
                <w:b/>
                <w:bCs/>
                <w:color w:val="000000" w:themeColor="text1"/>
                <w:sz w:val="24"/>
              </w:rPr>
            </w:pPr>
          </w:p>
        </w:tc>
        <w:tc>
          <w:tcPr>
            <w:tcW w:w="825" w:type="dxa"/>
            <w:gridSpan w:val="2"/>
            <w:vAlign w:val="center"/>
          </w:tcPr>
          <w:p w14:paraId="4080F6A4" w14:textId="77777777" w:rsidR="009967D1" w:rsidRDefault="009967D1">
            <w:pPr>
              <w:spacing w:line="400" w:lineRule="exact"/>
              <w:jc w:val="center"/>
              <w:rPr>
                <w:b/>
                <w:bCs/>
                <w:color w:val="000000" w:themeColor="text1"/>
                <w:sz w:val="24"/>
              </w:rPr>
            </w:pPr>
          </w:p>
        </w:tc>
        <w:tc>
          <w:tcPr>
            <w:tcW w:w="1980" w:type="dxa"/>
            <w:gridSpan w:val="2"/>
            <w:vAlign w:val="center"/>
          </w:tcPr>
          <w:p w14:paraId="2E82D562" w14:textId="77777777" w:rsidR="009967D1" w:rsidRDefault="009967D1">
            <w:pPr>
              <w:spacing w:line="400" w:lineRule="exact"/>
              <w:ind w:firstLineChars="100" w:firstLine="245"/>
              <w:jc w:val="center"/>
              <w:rPr>
                <w:b/>
                <w:bCs/>
                <w:color w:val="000000" w:themeColor="text1"/>
                <w:sz w:val="24"/>
              </w:rPr>
            </w:pPr>
          </w:p>
        </w:tc>
        <w:tc>
          <w:tcPr>
            <w:tcW w:w="1408" w:type="dxa"/>
            <w:gridSpan w:val="2"/>
            <w:vAlign w:val="center"/>
          </w:tcPr>
          <w:p w14:paraId="6C40E857" w14:textId="77777777" w:rsidR="009967D1" w:rsidRDefault="009967D1">
            <w:pPr>
              <w:spacing w:line="400" w:lineRule="exact"/>
              <w:jc w:val="center"/>
              <w:rPr>
                <w:b/>
                <w:bCs/>
                <w:color w:val="000000" w:themeColor="text1"/>
                <w:sz w:val="24"/>
              </w:rPr>
            </w:pPr>
          </w:p>
        </w:tc>
      </w:tr>
      <w:tr w:rsidR="009967D1" w14:paraId="603EAA3C" w14:textId="77777777">
        <w:trPr>
          <w:trHeight w:val="1651"/>
          <w:jc w:val="center"/>
        </w:trPr>
        <w:tc>
          <w:tcPr>
            <w:tcW w:w="9653" w:type="dxa"/>
            <w:gridSpan w:val="11"/>
            <w:vAlign w:val="center"/>
          </w:tcPr>
          <w:p w14:paraId="517D77A8" w14:textId="77777777" w:rsidR="009967D1" w:rsidRDefault="009967D1"/>
          <w:p w14:paraId="55645221" w14:textId="77777777" w:rsidR="009967D1" w:rsidRDefault="0080134E">
            <w:r>
              <w:rPr>
                <w:b/>
                <w:bCs/>
              </w:rPr>
              <w:t>Clinical Significance:</w:t>
            </w:r>
            <w:r>
              <w:t xml:space="preserve"> Maintains body fluid osmotic pressure, acid - base balance, participates in gastric acid formation, etc. The normal serum chloride is 96 - 108mmol/L.</w:t>
            </w:r>
          </w:p>
          <w:p w14:paraId="04AF9DA0" w14:textId="77777777" w:rsidR="009967D1" w:rsidRDefault="0080134E">
            <w:r>
              <w:rPr>
                <w:b/>
                <w:bCs/>
              </w:rPr>
              <w:t>临床意义：</w:t>
            </w:r>
            <w:r>
              <w:t>维持体液渗透压、酸碱平衡，参与胃酸形成等，正常血清氯96-108mmol/L。</w:t>
            </w:r>
          </w:p>
        </w:tc>
      </w:tr>
    </w:tbl>
    <w:p w14:paraId="5F15B8F4" w14:textId="77777777" w:rsidR="009967D1" w:rsidRDefault="009967D1" w:rsidP="004619DA">
      <w:pPr>
        <w:pStyle w:val="0"/>
      </w:pPr>
    </w:p>
    <w:p w14:paraId="5F655DD4"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29C236D" w14:textId="77777777">
        <w:trPr>
          <w:trHeight w:hRule="exact" w:val="113"/>
          <w:jc w:val="center"/>
        </w:trPr>
        <w:tc>
          <w:tcPr>
            <w:tcW w:w="1560" w:type="dxa"/>
            <w:gridSpan w:val="2"/>
            <w:tcBorders>
              <w:top w:val="single" w:sz="4" w:space="0" w:color="auto"/>
            </w:tcBorders>
            <w:vAlign w:val="center"/>
          </w:tcPr>
          <w:p w14:paraId="4ECD6B27"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994888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246FA04"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7F223C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F5439BA"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D376EA2" w14:textId="77777777" w:rsidR="009967D1" w:rsidRDefault="009967D1">
            <w:pPr>
              <w:spacing w:line="300" w:lineRule="exact"/>
              <w:jc w:val="right"/>
              <w:rPr>
                <w:color w:val="323E4F" w:themeColor="text2" w:themeShade="BF"/>
                <w:sz w:val="2"/>
                <w:szCs w:val="2"/>
              </w:rPr>
            </w:pPr>
          </w:p>
        </w:tc>
      </w:tr>
      <w:tr w:rsidR="009967D1" w14:paraId="25A77DDB" w14:textId="77777777">
        <w:trPr>
          <w:trHeight w:val="432"/>
          <w:jc w:val="center"/>
        </w:trPr>
        <w:tc>
          <w:tcPr>
            <w:tcW w:w="1150" w:type="dxa"/>
            <w:vAlign w:val="center"/>
          </w:tcPr>
          <w:p w14:paraId="1B07FFFD"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Calcium </w:t>
            </w:r>
          </w:p>
        </w:tc>
        <w:tc>
          <w:tcPr>
            <w:tcW w:w="2536" w:type="dxa"/>
            <w:gridSpan w:val="2"/>
            <w:vAlign w:val="center"/>
          </w:tcPr>
          <w:p w14:paraId="1CF45C43" w14:textId="77777777" w:rsidR="009967D1" w:rsidRDefault="0080134E">
            <w:pPr>
              <w:spacing w:line="400" w:lineRule="exact"/>
              <w:jc w:val="center"/>
              <w:rPr>
                <w:b/>
                <w:bCs/>
                <w:color w:val="000000" w:themeColor="text1"/>
                <w:sz w:val="24"/>
              </w:rPr>
            </w:pPr>
            <w:r>
              <w:rPr>
                <w:rFonts w:hint="eastAsia"/>
                <w:b/>
                <w:bCs/>
                <w:color w:val="000000" w:themeColor="text1"/>
                <w:sz w:val="24"/>
              </w:rPr>
              <w:t>钙（Ca2+）</w:t>
            </w:r>
          </w:p>
        </w:tc>
        <w:tc>
          <w:tcPr>
            <w:tcW w:w="1754" w:type="dxa"/>
            <w:gridSpan w:val="2"/>
            <w:vAlign w:val="center"/>
          </w:tcPr>
          <w:p>
            <w:r>
              <w:t>{{CALCIUM_result}}</w:t>
            </w:r>
          </w:p>
        </w:tc>
        <w:tc>
          <w:tcPr>
            <w:tcW w:w="825" w:type="dxa"/>
            <w:gridSpan w:val="2"/>
            <w:vAlign w:val="center"/>
          </w:tcPr>
          <w:p>
            <w:r>
              <w:t>{{CALCIUM_point}}</w:t>
            </w:r>
          </w:p>
        </w:tc>
        <w:tc>
          <w:tcPr>
            <w:tcW w:w="1980" w:type="dxa"/>
            <w:gridSpan w:val="2"/>
            <w:vAlign w:val="center"/>
          </w:tcPr>
          <w:p>
            <w:r>
              <w:t>{{CALCIUM_refer}}</w:t>
            </w:r>
          </w:p>
        </w:tc>
        <w:tc>
          <w:tcPr>
            <w:tcW w:w="1408" w:type="dxa"/>
            <w:gridSpan w:val="2"/>
            <w:vAlign w:val="center"/>
          </w:tcPr>
          <w:p>
            <w:r>
              <w:t>{{CALCIUM_unit}}</w:t>
            </w:r>
          </w:p>
        </w:tc>
      </w:tr>
      <w:tr w:rsidR="009967D1" w14:paraId="0C82ADDF" w14:textId="77777777">
        <w:trPr>
          <w:trHeight w:val="1651"/>
          <w:jc w:val="center"/>
        </w:trPr>
        <w:tc>
          <w:tcPr>
            <w:tcW w:w="9653" w:type="dxa"/>
            <w:gridSpan w:val="11"/>
            <w:vAlign w:val="center"/>
          </w:tcPr>
          <w:p w14:paraId="2593FB60" w14:textId="77777777" w:rsidR="009967D1" w:rsidRDefault="009967D1"/>
          <w:p w14:paraId="391F49EC" w14:textId="77777777" w:rsidR="009967D1" w:rsidRDefault="0080134E">
            <w:r>
              <w:rPr>
                <w:b/>
                <w:bCs/>
              </w:rPr>
              <w:t>Clinical Significance:</w:t>
            </w:r>
            <w:r>
              <w:t xml:space="preserve"> Maintains bone hardness, neuromuscular excitability, coagulation function, etc. The normal total serum calcium is 2.25 - 2.58mmol/L, and ionized calcium is 1.10 - 1.34mmol/L.</w:t>
            </w:r>
          </w:p>
          <w:p w14:paraId="0063B77C" w14:textId="77777777" w:rsidR="009967D1" w:rsidRDefault="0080134E">
            <w:r>
              <w:rPr>
                <w:b/>
                <w:bCs/>
              </w:rPr>
              <w:t>临床意义：</w:t>
            </w:r>
            <w:r>
              <w:t>维持骨骼硬度、神经肌肉兴奋性、凝血功能等，正常血清总钙2.25-2.58mmol/L，离子钙1.10-1.34mmol/L。</w:t>
            </w:r>
          </w:p>
        </w:tc>
      </w:tr>
      <w:tr>
        <w:tc>
          <w:tcPr>
            <w:tcW w:type="dxa" w:w="1150"/>
          </w:tcPr>
          <w:p>
            <w:r>
              <w:t>P</w:t>
            </w:r>
          </w:p>
        </w:tc>
        <w:tc>
          <w:tcPr>
            <w:tcW w:type="dxa" w:w="410"/>
          </w:tcPr>
          <w:p>
            <w:r>
              <w:t>Inorganic phosphate</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r>
        <w:tc>
          <w:tcPr>
            <w:tcW w:type="dxa" w:w="1150"/>
          </w:tcPr>
          <w:p>
            <w:r>
              <w:t>25-OH-VitD</w:t>
            </w:r>
          </w:p>
        </w:tc>
        <w:tc>
          <w:tcPr>
            <w:tcW w:type="dxa" w:w="410"/>
          </w:tcPr>
          <w:p>
            <w:r>
              <w:t>Vitamin D</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r>
        <w:tc>
          <w:tcPr>
            <w:tcW w:type="dxa" w:w="1150"/>
          </w:tcPr>
          <w:p>
            <w:r>
              <w:t>CTX</w:t>
            </w:r>
          </w:p>
        </w:tc>
        <w:tc>
          <w:tcPr>
            <w:tcW w:type="dxa" w:w="410"/>
          </w:tcPr>
          <w:p>
            <w:r>
              <w:t>Beta Crosslap</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bl>
    <w:p w14:paraId="0C5502BB" w14:textId="77777777" w:rsidR="009967D1" w:rsidRDefault="009967D1" w:rsidP="004619DA">
      <w:pPr>
        <w:pStyle w:val="0"/>
      </w:pPr>
    </w:p>
    <w:p w14:paraId="3456831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6"/>
        <w:gridCol w:w="403"/>
        <w:gridCol w:w="2078"/>
        <w:gridCol w:w="1633"/>
        <w:gridCol w:w="52"/>
        <w:gridCol w:w="770"/>
        <w:gridCol w:w="28"/>
        <w:gridCol w:w="659"/>
        <w:gridCol w:w="1248"/>
        <w:gridCol w:w="657"/>
        <w:gridCol w:w="699"/>
      </w:tblGrid>
      <w:tr w:rsidR="009967D1" w14:paraId="563CE310" w14:textId="77777777">
        <w:trPr>
          <w:trHeight w:hRule="exact" w:val="113"/>
          <w:jc w:val="center"/>
        </w:trPr>
        <w:tc>
          <w:tcPr>
            <w:tcW w:w="1560" w:type="dxa"/>
            <w:gridSpan w:val="2"/>
            <w:tcBorders>
              <w:top w:val="single" w:sz="4" w:space="0" w:color="auto"/>
            </w:tcBorders>
            <w:vAlign w:val="center"/>
          </w:tcPr>
          <w:p w14:paraId="75EEBDC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2F4553C"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276D110"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33F2CB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9A3B43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84550E3" w14:textId="77777777" w:rsidR="009967D1" w:rsidRDefault="009967D1">
            <w:pPr>
              <w:spacing w:line="300" w:lineRule="exact"/>
              <w:jc w:val="right"/>
              <w:rPr>
                <w:color w:val="323E4F" w:themeColor="text2" w:themeShade="BF"/>
                <w:sz w:val="2"/>
                <w:szCs w:val="2"/>
              </w:rPr>
            </w:pPr>
          </w:p>
        </w:tc>
      </w:tr>
      <w:tr w:rsidR="009967D1" w14:paraId="6AEB50B5" w14:textId="77777777">
        <w:trPr>
          <w:trHeight w:val="432"/>
          <w:jc w:val="center"/>
        </w:trPr>
        <w:tc>
          <w:tcPr>
            <w:tcW w:w="1150" w:type="dxa"/>
            <w:vAlign w:val="center"/>
          </w:tcPr>
          <w:p w14:paraId="78DFCB67"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Magnesium </w:t>
            </w:r>
          </w:p>
        </w:tc>
        <w:tc>
          <w:tcPr>
            <w:tcW w:w="2536" w:type="dxa"/>
            <w:gridSpan w:val="2"/>
            <w:vAlign w:val="center"/>
          </w:tcPr>
          <w:p w14:paraId="3C8B3284" w14:textId="77777777" w:rsidR="009967D1" w:rsidRDefault="0080134E">
            <w:pPr>
              <w:spacing w:line="400" w:lineRule="exact"/>
              <w:jc w:val="center"/>
              <w:rPr>
                <w:b/>
                <w:bCs/>
                <w:color w:val="000000" w:themeColor="text1"/>
                <w:sz w:val="24"/>
              </w:rPr>
            </w:pPr>
            <w:r>
              <w:rPr>
                <w:rFonts w:hint="eastAsia"/>
                <w:b/>
                <w:bCs/>
                <w:color w:val="000000" w:themeColor="text1"/>
                <w:sz w:val="24"/>
              </w:rPr>
              <w:t>镁（Mg2+）</w:t>
            </w:r>
          </w:p>
        </w:tc>
        <w:tc>
          <w:tcPr>
            <w:tcW w:w="1754" w:type="dxa"/>
            <w:gridSpan w:val="2"/>
            <w:vAlign w:val="center"/>
          </w:tcPr>
          <w:p>
            <w:r>
              <w:t>{{MAGNESIUM_result}}</w:t>
            </w:r>
          </w:p>
        </w:tc>
        <w:tc>
          <w:tcPr>
            <w:tcW w:w="825" w:type="dxa"/>
            <w:gridSpan w:val="2"/>
            <w:vAlign w:val="center"/>
          </w:tcPr>
          <w:p>
            <w:r>
              <w:t>{{MAGNESIUM_point}}</w:t>
            </w:r>
          </w:p>
        </w:tc>
        <w:tc>
          <w:tcPr>
            <w:tcW w:w="1980" w:type="dxa"/>
            <w:gridSpan w:val="2"/>
            <w:vAlign w:val="center"/>
          </w:tcPr>
          <w:p>
            <w:r>
              <w:t>{{MAGNESIUM_refer}}</w:t>
            </w:r>
          </w:p>
        </w:tc>
        <w:tc>
          <w:tcPr>
            <w:tcW w:w="1408" w:type="dxa"/>
            <w:gridSpan w:val="2"/>
            <w:vAlign w:val="center"/>
          </w:tcPr>
          <w:p>
            <w:r>
              <w:t>{{MAGNESIUM_unit}}</w:t>
            </w:r>
          </w:p>
        </w:tc>
      </w:tr>
      <w:tr w:rsidR="009967D1" w14:paraId="136CA8EE" w14:textId="77777777">
        <w:trPr>
          <w:trHeight w:val="1651"/>
          <w:jc w:val="center"/>
        </w:trPr>
        <w:tc>
          <w:tcPr>
            <w:tcW w:w="9653" w:type="dxa"/>
            <w:gridSpan w:val="11"/>
            <w:vAlign w:val="center"/>
          </w:tcPr>
          <w:p w14:paraId="608410C9" w14:textId="77777777" w:rsidR="009967D1" w:rsidRDefault="009967D1"/>
          <w:p w14:paraId="4584D18D" w14:textId="77777777" w:rsidR="009967D1" w:rsidRDefault="0080134E">
            <w:r>
              <w:rPr>
                <w:b/>
                <w:bCs/>
              </w:rPr>
              <w:t>Clinical Significance:</w:t>
            </w:r>
            <w:r>
              <w:t xml:space="preserve"> Participates in the regulation of various enzyme activities, maintains neuromuscular excitability, heart function, etc. The normal serum magnesium is 0.75 - 1.02mmol/L.</w:t>
            </w:r>
          </w:p>
          <w:p w14:paraId="1367E298" w14:textId="77777777" w:rsidR="009967D1" w:rsidRDefault="0080134E">
            <w:r>
              <w:rPr>
                <w:b/>
                <w:bCs/>
              </w:rPr>
              <w:t>临床意义：</w:t>
            </w:r>
            <w:r>
              <w:t>参与多种酶活性调节，维持神经肌肉兴奋性、心脏功能等，正常血清镁0.75-1.02mmol/L。</w:t>
            </w:r>
          </w:p>
        </w:tc>
      </w:tr>
    </w:tbl>
    <w:p w14:paraId="4A995F6B" w14:textId="77777777" w:rsidR="009967D1" w:rsidRDefault="009967D1" w:rsidP="004619DA">
      <w:pPr>
        <w:pStyle w:val="0"/>
      </w:pPr>
    </w:p>
    <w:p w14:paraId="78EE651C"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4"/>
        <w:gridCol w:w="399"/>
        <w:gridCol w:w="2064"/>
        <w:gridCol w:w="1636"/>
        <w:gridCol w:w="52"/>
        <w:gridCol w:w="771"/>
        <w:gridCol w:w="28"/>
        <w:gridCol w:w="660"/>
        <w:gridCol w:w="1250"/>
        <w:gridCol w:w="659"/>
        <w:gridCol w:w="700"/>
      </w:tblGrid>
      <w:tr w:rsidR="009967D1" w14:paraId="06051F53" w14:textId="77777777">
        <w:trPr>
          <w:trHeight w:hRule="exact" w:val="113"/>
          <w:jc w:val="center"/>
        </w:trPr>
        <w:tc>
          <w:tcPr>
            <w:tcW w:w="1560" w:type="dxa"/>
            <w:gridSpan w:val="2"/>
            <w:tcBorders>
              <w:top w:val="single" w:sz="4" w:space="0" w:color="auto"/>
            </w:tcBorders>
            <w:vAlign w:val="center"/>
          </w:tcPr>
          <w:p w14:paraId="6CA9C9D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8B077A6"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4EAE69C"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29DB73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78A1922"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7F325FD" w14:textId="77777777" w:rsidR="009967D1" w:rsidRDefault="009967D1">
            <w:pPr>
              <w:spacing w:line="300" w:lineRule="exact"/>
              <w:jc w:val="right"/>
              <w:rPr>
                <w:color w:val="323E4F" w:themeColor="text2" w:themeShade="BF"/>
                <w:sz w:val="2"/>
                <w:szCs w:val="2"/>
              </w:rPr>
            </w:pPr>
          </w:p>
        </w:tc>
      </w:tr>
      <w:tr w:rsidR="009967D1" w14:paraId="38219139" w14:textId="77777777">
        <w:trPr>
          <w:trHeight w:val="432"/>
          <w:jc w:val="center"/>
        </w:trPr>
        <w:tc>
          <w:tcPr>
            <w:tcW w:w="1150" w:type="dxa"/>
            <w:vAlign w:val="center"/>
          </w:tcPr>
          <w:p w14:paraId="0D8F606A"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Phosphorus </w:t>
            </w:r>
          </w:p>
        </w:tc>
        <w:tc>
          <w:tcPr>
            <w:tcW w:w="2536" w:type="dxa"/>
            <w:gridSpan w:val="2"/>
            <w:vAlign w:val="center"/>
          </w:tcPr>
          <w:p w14:paraId="50726AE5" w14:textId="77777777" w:rsidR="009967D1" w:rsidRDefault="0080134E">
            <w:pPr>
              <w:spacing w:line="400" w:lineRule="exact"/>
              <w:jc w:val="center"/>
              <w:rPr>
                <w:b/>
                <w:bCs/>
                <w:color w:val="000000" w:themeColor="text1"/>
                <w:sz w:val="24"/>
              </w:rPr>
            </w:pPr>
            <w:r>
              <w:rPr>
                <w:rFonts w:hint="eastAsia"/>
                <w:b/>
                <w:bCs/>
                <w:color w:val="000000" w:themeColor="text1"/>
                <w:sz w:val="24"/>
              </w:rPr>
              <w:t>磷（P）</w:t>
            </w:r>
          </w:p>
        </w:tc>
        <w:tc>
          <w:tcPr>
            <w:tcW w:w="1754" w:type="dxa"/>
            <w:gridSpan w:val="2"/>
            <w:vAlign w:val="center"/>
          </w:tcPr>
          <w:p>
            <w:r>
              <w:t>{{PHOSPHORUS_result}}</w:t>
            </w:r>
          </w:p>
        </w:tc>
        <w:tc>
          <w:tcPr>
            <w:tcW w:w="825" w:type="dxa"/>
            <w:gridSpan w:val="2"/>
            <w:vAlign w:val="center"/>
          </w:tcPr>
          <w:p>
            <w:r>
              <w:t>{{PHOSPHORUS_point}}</w:t>
            </w:r>
          </w:p>
        </w:tc>
        <w:tc>
          <w:tcPr>
            <w:tcW w:w="1980" w:type="dxa"/>
            <w:gridSpan w:val="2"/>
            <w:vAlign w:val="center"/>
          </w:tcPr>
          <w:p>
            <w:r>
              <w:t>{{PHOSPHORUS_refer}}</w:t>
            </w:r>
          </w:p>
        </w:tc>
        <w:tc>
          <w:tcPr>
            <w:tcW w:w="1408" w:type="dxa"/>
            <w:gridSpan w:val="2"/>
            <w:vAlign w:val="center"/>
          </w:tcPr>
          <w:p>
            <w:r>
              <w:t>{{PHOSPHORUS_unit}}</w:t>
            </w:r>
          </w:p>
        </w:tc>
      </w:tr>
      <w:tr w:rsidR="009967D1" w14:paraId="6275119A" w14:textId="77777777">
        <w:trPr>
          <w:trHeight w:val="1651"/>
          <w:jc w:val="center"/>
        </w:trPr>
        <w:tc>
          <w:tcPr>
            <w:tcW w:w="9653" w:type="dxa"/>
            <w:gridSpan w:val="11"/>
            <w:vAlign w:val="center"/>
          </w:tcPr>
          <w:p w14:paraId="7ACD16DD" w14:textId="77777777" w:rsidR="009967D1" w:rsidRDefault="009967D1"/>
          <w:p w14:paraId="28F3105A" w14:textId="77777777" w:rsidR="009967D1" w:rsidRDefault="0080134E">
            <w:r>
              <w:rPr>
                <w:b/>
                <w:bCs/>
              </w:rPr>
              <w:t>Clinical Significance:</w:t>
            </w:r>
            <w:r>
              <w:t xml:space="preserve"> Participates in bone formation, energy metabolism, nucleic acid synthesis, etc. The normal serum phosphorus is 0.97 - 1.61mmol/L.</w:t>
            </w:r>
          </w:p>
          <w:p w14:paraId="0FC70E1C" w14:textId="77777777" w:rsidR="009967D1" w:rsidRDefault="0080134E">
            <w:r>
              <w:rPr>
                <w:b/>
                <w:bCs/>
              </w:rPr>
              <w:t>临床意义：</w:t>
            </w:r>
            <w:r>
              <w:t>参与骨骼形成、能量代谢、核酸合成等，正常血清磷0.97-1.61mmol/L。</w:t>
            </w:r>
          </w:p>
        </w:tc>
      </w:tr>
    </w:tbl>
    <w:p w14:paraId="40311B16" w14:textId="77777777" w:rsidR="009967D1" w:rsidRDefault="009967D1" w:rsidP="004619DA">
      <w:pPr>
        <w:pStyle w:val="0"/>
      </w:pPr>
    </w:p>
    <w:p w14:paraId="36E8E22D"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39B468B7" w14:textId="05F11AA4" w:rsidR="009967D1" w:rsidRDefault="002948A2" w:rsidP="002948A2">
      <w:pPr>
        <w:pStyle w:val="3-"/>
      </w:pPr>
      <w:r>
        <w:rPr>
          <w:rFonts w:hint="eastAsia"/>
        </w:rPr>
        <w:lastRenderedPageBreak/>
        <w:t>Liver Function</w:t>
      </w:r>
      <w:r>
        <w:br/>
      </w:r>
      <w:r w:rsidR="0080134E">
        <w:rPr>
          <w:rFonts w:hint="eastAsia"/>
        </w:rPr>
        <w:t>肝功能</w:t>
      </w:r>
    </w:p>
    <w:p w14:paraId="52AA3994" w14:textId="77777777" w:rsidR="00C36A08" w:rsidRPr="00C36A08" w:rsidRDefault="00C36A08" w:rsidP="00C36A08">
      <w:pPr>
        <w:pStyle w:val="0"/>
      </w:pPr>
    </w:p>
    <w:p w14:paraId="0E2E90CD" w14:textId="417A5DC8" w:rsidR="002948A2" w:rsidRDefault="002948A2" w:rsidP="002948A2">
      <w:pPr>
        <w:pStyle w:val="00"/>
      </w:pPr>
      <w:r w:rsidRPr="002948A2">
        <w:t>Liver function tests (LFTs) are essential laboratory assessments for evaluating liver health and metabolic function. By measuring proteins, bilirubin, and various enzymes in the blood, these tests provide a comprehensive overview of the liver’s synthetic capacity, detoxification ability, and bile metabolism. Common parameters include total protein, albumin/globulin ratio, bilirubin levels, alkaline phosphatase (ALP), alanine aminotransferase (ALT), aspartate aminotransferase (AST), and gamma-glutamyl transferase (GGT).</w:t>
      </w:r>
    </w:p>
    <w:p w14:paraId="41932F50" w14:textId="5DA098B6" w:rsidR="002948A2" w:rsidRDefault="002948A2" w:rsidP="002948A2">
      <w:pPr>
        <w:pStyle w:val="0"/>
      </w:pPr>
      <w:r>
        <w:t>肝功能检测是评估肝脏健康状态和代谢功能的重要实验室检查，通过测定血液中的蛋白质、胆红素及多种转氨酶水平，全面反映肝脏的合成功能、解毒功能及胆汁代谢情况。常规项目包括总蛋白、白蛋白</w:t>
      </w:r>
      <w:r>
        <w:t>/</w:t>
      </w:r>
      <w:r>
        <w:t>球蛋白比值、胆红素系列、碱性磷酸酶（</w:t>
      </w:r>
      <w:r>
        <w:t>ALP</w:t>
      </w:r>
      <w:r>
        <w:t>）、谷丙转氨酶（</w:t>
      </w:r>
      <w:r>
        <w:t>ALT</w:t>
      </w:r>
      <w:r>
        <w:t>）、谷草转氨酶（</w:t>
      </w:r>
      <w:r>
        <w:t>AST</w:t>
      </w:r>
      <w:r>
        <w:t>）、</w:t>
      </w:r>
      <w:r>
        <w:t>γ-</w:t>
      </w:r>
      <w:r>
        <w:t>谷氨酰转移酶（</w:t>
      </w:r>
      <w:r>
        <w:t>GGT</w:t>
      </w:r>
      <w:r>
        <w:t>）等。</w:t>
      </w:r>
    </w:p>
    <w:p w14:paraId="468AF092" w14:textId="379E3A16" w:rsidR="002948A2" w:rsidRDefault="002948A2" w:rsidP="002948A2">
      <w:pPr>
        <w:pStyle w:val="00"/>
      </w:pPr>
      <w:r w:rsidRPr="002948A2">
        <w:t>The liver is a vital organ for metabolism and detoxification. Protein markers reflect hepatic synthetic function, with abnormalities suggesting malnutrition, chronic liver disease, or immune imbalance. Bilirubin levels indicate bile production and excretion, useful in detecting hemolytic disorders, hepatocellular injury, or bile duct obstruction. Transaminases (ALT and AST) are sensitive indicators of hepatocellular damage and are commonly used to monitor hepatitis, drug-induced liver injury, and fatty liver disease. ALP and GGT are closely associated with cholestasis and alcohol-related liver disease.</w:t>
      </w:r>
    </w:p>
    <w:p w14:paraId="5B3BE914" w14:textId="27E7B30F" w:rsidR="002948A2" w:rsidRDefault="002948A2" w:rsidP="002948A2">
      <w:pPr>
        <w:pStyle w:val="0"/>
      </w:pPr>
      <w:r>
        <w:t>肝脏是人体最重要的代谢和解毒器官之一。蛋白质指标反映肝脏合成功能，异常可提示营养不良、慢性肝病或免疫紊乱；胆红素水平反映胆汁生成与排泄功能，可用于发现溶血性疾病、肝细胞损伤或胆道梗阻；转氨酶（</w:t>
      </w:r>
      <w:r>
        <w:t>ALT</w:t>
      </w:r>
      <w:r>
        <w:t>、</w:t>
      </w:r>
      <w:r>
        <w:t>AST</w:t>
      </w:r>
      <w:r>
        <w:t>）是评估肝细胞损伤的敏感指标，常用于肝炎、药物性肝损伤、脂肪肝等疾病监测；</w:t>
      </w:r>
      <w:r>
        <w:t>ALP</w:t>
      </w:r>
      <w:r>
        <w:t>与</w:t>
      </w:r>
      <w:r>
        <w:t>GGT</w:t>
      </w:r>
      <w:r>
        <w:t>则与胆汁淤积及酒精相关性肝病密切相关。</w:t>
      </w:r>
    </w:p>
    <w:p w14:paraId="24698E84" w14:textId="733969B4" w:rsidR="002948A2" w:rsidRDefault="002948A2" w:rsidP="002948A2">
      <w:pPr>
        <w:pStyle w:val="00"/>
      </w:pPr>
      <w:r w:rsidRPr="002948A2">
        <w:t>In preventive healthcare, LFTs are valuable not only for diagnosing conditions such as hepatitis, cirrhosis, fatty liver, and drug- or alcohol-induced injury but also for identifying metabolic syndrome, chronic inflammation, and potential nutritional imbalances. Regular monitoring is particularly important for individuals with high-risk lifestyles, such as frequent alcohol consumption, obesity, sleep deprivation, long-term medication use, or a family history of liver disease.</w:t>
      </w:r>
      <w:r w:rsidR="00272239" w:rsidRPr="00272239">
        <w:rPr>
          <w:noProof/>
        </w:rPr>
        <w:t xml:space="preserve"> </w:t>
      </w:r>
    </w:p>
    <w:p w14:paraId="42241521" w14:textId="6D5AA624" w:rsidR="002948A2" w:rsidRDefault="002948A2" w:rsidP="002948A2">
      <w:pPr>
        <w:pStyle w:val="0"/>
      </w:pPr>
      <w:r>
        <w:t>在健康管理中，肝功能检测的意义不仅在于诊断肝炎、肝硬化、脂肪肝、酒精性或药物性肝损伤，还能帮助发现代谢综合征、慢性炎症状态和潜在的营养问题。对于长期饮酒、肥胖、熬夜、用药较多或有家族性肝病风险的人群，定期检测尤为重要。</w:t>
      </w:r>
    </w:p>
    <w:p w14:paraId="539061EF" w14:textId="6B31D293" w:rsidR="00272239" w:rsidRDefault="00272239" w:rsidP="002948A2">
      <w:pPr>
        <w:pStyle w:val="0"/>
      </w:pPr>
      <w:r w:rsidRPr="009E1205">
        <w:rPr>
          <w:noProof/>
        </w:rPr>
        <w:drawing>
          <wp:anchor distT="0" distB="0" distL="114300" distR="114300" simplePos="0" relativeHeight="251678720" behindDoc="0" locked="0" layoutInCell="1" allowOverlap="1" wp14:anchorId="243DAD55" wp14:editId="48F8A586">
            <wp:simplePos x="0" y="0"/>
            <wp:positionH relativeFrom="column">
              <wp:posOffset>1270</wp:posOffset>
            </wp:positionH>
            <wp:positionV relativeFrom="paragraph">
              <wp:posOffset>344805</wp:posOffset>
            </wp:positionV>
            <wp:extent cx="6080125" cy="1706245"/>
            <wp:effectExtent l="0" t="0" r="3175" b="0"/>
            <wp:wrapNone/>
            <wp:docPr id="14697935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793511" name="图片 1"/>
                    <pic:cNvPicPr/>
                  </pic:nvPicPr>
                  <pic:blipFill rotWithShape="1">
                    <a:blip r:embed="rId21">
                      <a:extLst>
                        <a:ext uri="{28A0092B-C50C-407E-A947-70E740481C1C}">
                          <a14:useLocalDpi xmlns:a14="http://schemas.microsoft.com/office/drawing/2010/main" val="0"/>
                        </a:ext>
                      </a:extLst>
                    </a:blip>
                    <a:srcRect t="11091" b="39123"/>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3E401F" w14:textId="29318115" w:rsidR="00272239" w:rsidRDefault="00272239" w:rsidP="002948A2">
      <w:pPr>
        <w:pStyle w:val="0"/>
      </w:pPr>
    </w:p>
    <w:p w14:paraId="59220208" w14:textId="77777777" w:rsidR="009967D1" w:rsidRDefault="0080134E">
      <w:pPr>
        <w:widowControl/>
        <w:jc w:val="left"/>
      </w:pPr>
      <w:r>
        <w:br w:type="page"/>
      </w:r>
    </w:p>
    <w:p w14:paraId="08B4C6AD"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589BF28" w14:textId="77777777">
        <w:trPr>
          <w:trHeight w:val="839"/>
          <w:jc w:val="center"/>
        </w:trPr>
        <w:tc>
          <w:tcPr>
            <w:tcW w:w="1150" w:type="dxa"/>
            <w:tcBorders>
              <w:top w:val="single" w:sz="4" w:space="0" w:color="auto"/>
              <w:bottom w:val="single" w:sz="4" w:space="0" w:color="auto"/>
            </w:tcBorders>
            <w:vAlign w:val="center"/>
          </w:tcPr>
          <w:p w14:paraId="1A367F3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37BA31F3"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7D1B052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10A09244"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7B17F4E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611BE0BE"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6AA4C32B" w14:textId="77777777">
        <w:trPr>
          <w:trHeight w:val="1111"/>
          <w:jc w:val="center"/>
        </w:trPr>
        <w:tc>
          <w:tcPr>
            <w:tcW w:w="9653" w:type="dxa"/>
            <w:gridSpan w:val="11"/>
            <w:tcBorders>
              <w:top w:val="single" w:sz="4" w:space="0" w:color="auto"/>
              <w:bottom w:val="single" w:sz="4" w:space="0" w:color="auto"/>
            </w:tcBorders>
            <w:vAlign w:val="center"/>
          </w:tcPr>
          <w:p w14:paraId="107704C0"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Liver Function</w:t>
            </w:r>
          </w:p>
          <w:p w14:paraId="40FDFB76"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肝功能</w:t>
            </w:r>
          </w:p>
        </w:tc>
      </w:tr>
      <w:tr w:rsidR="009967D1" w14:paraId="2202737E" w14:textId="77777777">
        <w:trPr>
          <w:trHeight w:hRule="exact" w:val="113"/>
          <w:jc w:val="center"/>
        </w:trPr>
        <w:tc>
          <w:tcPr>
            <w:tcW w:w="1560" w:type="dxa"/>
            <w:gridSpan w:val="2"/>
            <w:tcBorders>
              <w:top w:val="single" w:sz="4" w:space="0" w:color="auto"/>
            </w:tcBorders>
            <w:vAlign w:val="center"/>
          </w:tcPr>
          <w:p w14:paraId="4DE038A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DE9B443"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9B5292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5F8D3E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5E6F042"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79BE08E" w14:textId="77777777" w:rsidR="009967D1" w:rsidRDefault="009967D1">
            <w:pPr>
              <w:spacing w:line="300" w:lineRule="exact"/>
              <w:jc w:val="right"/>
              <w:rPr>
                <w:color w:val="323E4F" w:themeColor="text2" w:themeShade="BF"/>
                <w:sz w:val="2"/>
                <w:szCs w:val="2"/>
              </w:rPr>
            </w:pPr>
          </w:p>
        </w:tc>
      </w:tr>
      <w:tr w:rsidR="009967D1" w14:paraId="0C31CAA7" w14:textId="77777777">
        <w:trPr>
          <w:trHeight w:val="432"/>
          <w:jc w:val="center"/>
        </w:trPr>
        <w:tc>
          <w:tcPr>
            <w:tcW w:w="1150" w:type="dxa"/>
            <w:vAlign w:val="center"/>
          </w:tcPr>
          <w:p w14:paraId="53155C53" w14:textId="77777777" w:rsidR="009967D1" w:rsidRDefault="0080134E">
            <w:pPr>
              <w:spacing w:line="400" w:lineRule="exact"/>
              <w:jc w:val="center"/>
              <w:rPr>
                <w:b/>
                <w:bCs/>
                <w:color w:val="000000" w:themeColor="text1"/>
                <w:sz w:val="24"/>
              </w:rPr>
            </w:pPr>
            <w:r>
              <w:rPr>
                <w:rFonts w:hint="eastAsia"/>
                <w:b/>
                <w:bCs/>
                <w:color w:val="000000" w:themeColor="text1"/>
                <w:sz w:val="24"/>
              </w:rPr>
              <w:t>TP</w:t>
            </w:r>
          </w:p>
        </w:tc>
        <w:tc>
          <w:tcPr>
            <w:tcW w:w="2536" w:type="dxa"/>
            <w:gridSpan w:val="2"/>
            <w:vAlign w:val="center"/>
          </w:tcPr>
          <w:p w14:paraId="7583B4CA" w14:textId="77777777" w:rsidR="009967D1" w:rsidRDefault="0080134E">
            <w:pPr>
              <w:spacing w:line="400" w:lineRule="exact"/>
              <w:jc w:val="center"/>
              <w:rPr>
                <w:b/>
                <w:bCs/>
                <w:color w:val="000000" w:themeColor="text1"/>
                <w:sz w:val="24"/>
              </w:rPr>
            </w:pPr>
            <w:r>
              <w:rPr>
                <w:rFonts w:hint="eastAsia"/>
                <w:b/>
                <w:bCs/>
                <w:color w:val="000000" w:themeColor="text1"/>
                <w:sz w:val="24"/>
              </w:rPr>
              <w:t>总蛋白</w:t>
            </w:r>
          </w:p>
        </w:tc>
        <w:tc>
          <w:tcPr>
            <w:tcW w:w="1754" w:type="dxa"/>
            <w:gridSpan w:val="2"/>
            <w:vAlign w:val="center"/>
          </w:tcPr>
          <w:p>
            <w:r>
              <w:t>{{TP_result}}</w:t>
            </w:r>
          </w:p>
        </w:tc>
        <w:tc>
          <w:tcPr>
            <w:tcW w:w="825" w:type="dxa"/>
            <w:gridSpan w:val="2"/>
            <w:vAlign w:val="center"/>
          </w:tcPr>
          <w:p>
            <w:r>
              <w:t>{{TP_point}}</w:t>
            </w:r>
          </w:p>
        </w:tc>
        <w:tc>
          <w:tcPr>
            <w:tcW w:w="1980" w:type="dxa"/>
            <w:gridSpan w:val="2"/>
            <w:vAlign w:val="center"/>
          </w:tcPr>
          <w:p>
            <w:r>
              <w:t>{{TP_refer}}</w:t>
            </w:r>
          </w:p>
        </w:tc>
        <w:tc>
          <w:tcPr>
            <w:tcW w:w="1408" w:type="dxa"/>
            <w:gridSpan w:val="2"/>
            <w:vAlign w:val="center"/>
          </w:tcPr>
          <w:p>
            <w:r>
              <w:t>{{TP_unit}}</w:t>
            </w:r>
          </w:p>
        </w:tc>
      </w:tr>
      <w:tr w:rsidR="009967D1" w14:paraId="642A3A17" w14:textId="77777777">
        <w:trPr>
          <w:trHeight w:val="1651"/>
          <w:jc w:val="center"/>
        </w:trPr>
        <w:tc>
          <w:tcPr>
            <w:tcW w:w="9653" w:type="dxa"/>
            <w:gridSpan w:val="11"/>
            <w:vAlign w:val="center"/>
          </w:tcPr>
          <w:p w14:paraId="6D382B94" w14:textId="77777777" w:rsidR="009967D1" w:rsidRDefault="009967D1"/>
          <w:p w14:paraId="1EECAE79" w14:textId="77777777" w:rsidR="009967D1" w:rsidRDefault="0080134E">
            <w:r>
              <w:rPr>
                <w:b/>
                <w:bCs/>
              </w:rPr>
              <w:t>Clinical Significance:</w:t>
            </w:r>
            <w:r>
              <w:t xml:space="preserve"> Reflects liver synthetic function and body protein reserves, assisting in the diagnosis of liver and kidney diseases and nutritional status. Normal reference value: 60 - 80g/L (there may be differences in different detection methods).</w:t>
            </w:r>
          </w:p>
          <w:p w14:paraId="78EE2C66" w14:textId="77777777" w:rsidR="009967D1" w:rsidRDefault="0080134E">
            <w:r>
              <w:rPr>
                <w:b/>
                <w:bCs/>
              </w:rPr>
              <w:t>临床意义：</w:t>
            </w:r>
            <w:r>
              <w:t>反映肝脏合成功能及体内蛋白储备，协助诊断肝肾疾病、营养状态。正常参考值：60-80g/L（不同检测方法可能有差异）。</w:t>
            </w:r>
          </w:p>
        </w:tc>
      </w:tr>
    </w:tbl>
    <w:p w14:paraId="430379EB" w14:textId="77777777" w:rsidR="009967D1" w:rsidRDefault="009967D1" w:rsidP="004619DA">
      <w:pPr>
        <w:pStyle w:val="0"/>
      </w:pPr>
    </w:p>
    <w:p w14:paraId="776905F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6AF95F9" w14:textId="77777777">
        <w:trPr>
          <w:trHeight w:hRule="exact" w:val="113"/>
          <w:jc w:val="center"/>
        </w:trPr>
        <w:tc>
          <w:tcPr>
            <w:tcW w:w="1560" w:type="dxa"/>
            <w:gridSpan w:val="2"/>
            <w:tcBorders>
              <w:top w:val="single" w:sz="4" w:space="0" w:color="auto"/>
            </w:tcBorders>
            <w:vAlign w:val="center"/>
          </w:tcPr>
          <w:p w14:paraId="131777AE"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6570DA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4B479E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AB5FE9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2F3E47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1911A6E" w14:textId="77777777" w:rsidR="009967D1" w:rsidRDefault="009967D1">
            <w:pPr>
              <w:spacing w:line="300" w:lineRule="exact"/>
              <w:jc w:val="right"/>
              <w:rPr>
                <w:color w:val="323E4F" w:themeColor="text2" w:themeShade="BF"/>
                <w:sz w:val="2"/>
                <w:szCs w:val="2"/>
              </w:rPr>
            </w:pPr>
          </w:p>
        </w:tc>
      </w:tr>
      <w:tr w:rsidR="009967D1" w14:paraId="083008F0" w14:textId="77777777">
        <w:trPr>
          <w:trHeight w:val="432"/>
          <w:jc w:val="center"/>
        </w:trPr>
        <w:tc>
          <w:tcPr>
            <w:tcW w:w="1150" w:type="dxa"/>
            <w:vAlign w:val="center"/>
          </w:tcPr>
          <w:p w14:paraId="09194B27" w14:textId="77777777" w:rsidR="009967D1" w:rsidRDefault="0080134E">
            <w:pPr>
              <w:spacing w:line="400" w:lineRule="exact"/>
              <w:jc w:val="center"/>
              <w:rPr>
                <w:b/>
                <w:bCs/>
                <w:color w:val="000000" w:themeColor="text1"/>
                <w:sz w:val="24"/>
              </w:rPr>
            </w:pPr>
            <w:r>
              <w:rPr>
                <w:rFonts w:hint="eastAsia"/>
                <w:b/>
                <w:bCs/>
                <w:color w:val="000000" w:themeColor="text1"/>
                <w:sz w:val="24"/>
              </w:rPr>
              <w:t>A</w:t>
            </w:r>
          </w:p>
        </w:tc>
        <w:tc>
          <w:tcPr>
            <w:tcW w:w="2536" w:type="dxa"/>
            <w:gridSpan w:val="2"/>
            <w:vAlign w:val="center"/>
          </w:tcPr>
          <w:p w14:paraId="2A64C001" w14:textId="77777777" w:rsidR="009967D1" w:rsidRDefault="0080134E">
            <w:pPr>
              <w:spacing w:line="400" w:lineRule="exact"/>
              <w:jc w:val="center"/>
              <w:rPr>
                <w:b/>
                <w:bCs/>
                <w:color w:val="000000" w:themeColor="text1"/>
                <w:sz w:val="24"/>
              </w:rPr>
            </w:pPr>
            <w:r>
              <w:rPr>
                <w:rFonts w:hint="eastAsia"/>
                <w:b/>
                <w:bCs/>
                <w:color w:val="000000" w:themeColor="text1"/>
                <w:sz w:val="24"/>
              </w:rPr>
              <w:t>白蛋白</w:t>
            </w:r>
          </w:p>
        </w:tc>
        <w:tc>
          <w:tcPr>
            <w:tcW w:w="1754" w:type="dxa"/>
            <w:gridSpan w:val="2"/>
            <w:vAlign w:val="center"/>
          </w:tcPr>
          <w:p>
            <w:r>
              <w:t>{{A_result}}</w:t>
            </w:r>
          </w:p>
        </w:tc>
        <w:tc>
          <w:tcPr>
            <w:tcW w:w="825" w:type="dxa"/>
            <w:gridSpan w:val="2"/>
            <w:vAlign w:val="center"/>
          </w:tcPr>
          <w:p>
            <w:r>
              <w:t>{{A_point}}</w:t>
            </w:r>
          </w:p>
        </w:tc>
        <w:tc>
          <w:tcPr>
            <w:tcW w:w="1980" w:type="dxa"/>
            <w:gridSpan w:val="2"/>
            <w:vAlign w:val="center"/>
          </w:tcPr>
          <w:p>
            <w:r>
              <w:t>{{A_refer}}</w:t>
            </w:r>
          </w:p>
        </w:tc>
        <w:tc>
          <w:tcPr>
            <w:tcW w:w="1408" w:type="dxa"/>
            <w:gridSpan w:val="2"/>
            <w:vAlign w:val="center"/>
          </w:tcPr>
          <w:p>
            <w:r>
              <w:t>{{A_unit}}</w:t>
            </w:r>
          </w:p>
        </w:tc>
      </w:tr>
      <w:tr w:rsidR="009967D1" w14:paraId="3EA793E4" w14:textId="77777777">
        <w:trPr>
          <w:trHeight w:val="1651"/>
          <w:jc w:val="center"/>
        </w:trPr>
        <w:tc>
          <w:tcPr>
            <w:tcW w:w="9653" w:type="dxa"/>
            <w:gridSpan w:val="11"/>
            <w:vAlign w:val="center"/>
          </w:tcPr>
          <w:p w14:paraId="35D39CA1" w14:textId="77777777" w:rsidR="009967D1" w:rsidRDefault="009967D1"/>
          <w:p w14:paraId="122CA43C" w14:textId="77777777" w:rsidR="009967D1" w:rsidRDefault="0080134E">
            <w:r>
              <w:rPr>
                <w:b/>
                <w:bCs/>
              </w:rPr>
              <w:t>Clinical Significance:</w:t>
            </w:r>
            <w:r>
              <w:t xml:space="preserve"> The main protein synthesized by the liver, reflecting liver synthetic capacity and nutritional status, and maintaining plasma colloid osmotic pressure. Normal reference value: 40 - 55g/L.</w:t>
            </w:r>
          </w:p>
          <w:p w14:paraId="55A539CF" w14:textId="77777777" w:rsidR="009967D1" w:rsidRDefault="0080134E">
            <w:r>
              <w:rPr>
                <w:b/>
                <w:bCs/>
              </w:rPr>
              <w:t>临床意义：</w:t>
            </w:r>
            <w:r>
              <w:t>肝脏合成的主要蛋白，体现肝脏合成能力、营养状态，维持血浆胶体渗透压。正常参考值：40-55g/L。</w:t>
            </w:r>
          </w:p>
        </w:tc>
      </w:tr>
    </w:tbl>
    <w:p w14:paraId="3DE15590" w14:textId="77777777" w:rsidR="009967D1" w:rsidRDefault="009967D1" w:rsidP="004619DA">
      <w:pPr>
        <w:pStyle w:val="0"/>
      </w:pPr>
    </w:p>
    <w:p w14:paraId="1F4CA98C" w14:textId="77777777" w:rsidR="00326436" w:rsidRDefault="00326436" w:rsidP="00326436">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326436" w14:paraId="48BF497B" w14:textId="77777777" w:rsidTr="005971A0">
        <w:trPr>
          <w:trHeight w:hRule="exact" w:val="113"/>
          <w:jc w:val="center"/>
        </w:trPr>
        <w:tc>
          <w:tcPr>
            <w:tcW w:w="1560" w:type="dxa"/>
            <w:gridSpan w:val="2"/>
            <w:tcBorders>
              <w:top w:val="single" w:sz="4" w:space="0" w:color="auto"/>
            </w:tcBorders>
            <w:vAlign w:val="center"/>
          </w:tcPr>
          <w:p w14:paraId="5B111249" w14:textId="77777777" w:rsidR="00326436" w:rsidRDefault="00326436"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8F75DBA" w14:textId="77777777" w:rsidR="00326436" w:rsidRDefault="00326436"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4D36EEF" w14:textId="77777777" w:rsidR="00326436" w:rsidRDefault="00326436"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E536971" w14:textId="77777777" w:rsidR="00326436" w:rsidRDefault="00326436"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100EABF" w14:textId="77777777" w:rsidR="00326436" w:rsidRDefault="00326436"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3B3A5AEF" w14:textId="77777777" w:rsidR="00326436" w:rsidRDefault="00326436" w:rsidP="005971A0">
            <w:pPr>
              <w:spacing w:line="300" w:lineRule="exact"/>
              <w:jc w:val="right"/>
              <w:rPr>
                <w:color w:val="323E4F" w:themeColor="text2" w:themeShade="BF"/>
                <w:sz w:val="2"/>
                <w:szCs w:val="2"/>
              </w:rPr>
            </w:pPr>
          </w:p>
        </w:tc>
      </w:tr>
      <w:tr w:rsidR="00326436" w14:paraId="652F2867" w14:textId="77777777" w:rsidTr="005971A0">
        <w:trPr>
          <w:trHeight w:val="432"/>
          <w:jc w:val="center"/>
        </w:trPr>
        <w:tc>
          <w:tcPr>
            <w:tcW w:w="1150" w:type="dxa"/>
            <w:vAlign w:val="center"/>
          </w:tcPr>
          <w:p w14:paraId="6D72D889" w14:textId="0B922BF5" w:rsidR="00326436" w:rsidRDefault="00326436" w:rsidP="005971A0">
            <w:pPr>
              <w:spacing w:line="400" w:lineRule="exact"/>
              <w:jc w:val="center"/>
              <w:rPr>
                <w:b/>
                <w:bCs/>
                <w:color w:val="000000" w:themeColor="text1"/>
                <w:sz w:val="24"/>
              </w:rPr>
            </w:pPr>
            <w:r>
              <w:rPr>
                <w:rFonts w:hint="eastAsia"/>
                <w:b/>
                <w:bCs/>
                <w:color w:val="000000" w:themeColor="text1"/>
                <w:sz w:val="24"/>
              </w:rPr>
              <w:t>G</w:t>
            </w:r>
          </w:p>
        </w:tc>
        <w:tc>
          <w:tcPr>
            <w:tcW w:w="2536" w:type="dxa"/>
            <w:gridSpan w:val="2"/>
            <w:vAlign w:val="center"/>
          </w:tcPr>
          <w:p w14:paraId="69E9EC57" w14:textId="37582D0E" w:rsidR="00326436" w:rsidRDefault="00326436" w:rsidP="005971A0">
            <w:pPr>
              <w:spacing w:line="400" w:lineRule="exact"/>
              <w:jc w:val="center"/>
              <w:rPr>
                <w:b/>
                <w:bCs/>
                <w:color w:val="000000" w:themeColor="text1"/>
                <w:sz w:val="24"/>
              </w:rPr>
            </w:pPr>
            <w:r>
              <w:rPr>
                <w:rFonts w:hint="eastAsia"/>
                <w:b/>
                <w:bCs/>
                <w:color w:val="000000" w:themeColor="text1"/>
                <w:sz w:val="24"/>
              </w:rPr>
              <w:t>球蛋白</w:t>
            </w:r>
          </w:p>
        </w:tc>
        <w:tc>
          <w:tcPr>
            <w:tcW w:w="1754" w:type="dxa"/>
            <w:gridSpan w:val="2"/>
            <w:vAlign w:val="center"/>
          </w:tcPr>
          <w:p>
            <w:r>
              <w:t>{{G_result}}</w:t>
            </w:r>
          </w:p>
        </w:tc>
        <w:tc>
          <w:tcPr>
            <w:tcW w:w="825" w:type="dxa"/>
            <w:gridSpan w:val="2"/>
            <w:vAlign w:val="center"/>
          </w:tcPr>
          <w:p>
            <w:r>
              <w:t>{{G_point}}</w:t>
            </w:r>
          </w:p>
        </w:tc>
        <w:tc>
          <w:tcPr>
            <w:tcW w:w="1980" w:type="dxa"/>
            <w:gridSpan w:val="2"/>
            <w:vAlign w:val="center"/>
          </w:tcPr>
          <w:p>
            <w:r>
              <w:t>{{G_refer}}</w:t>
            </w:r>
          </w:p>
        </w:tc>
        <w:tc>
          <w:tcPr>
            <w:tcW w:w="1408" w:type="dxa"/>
            <w:gridSpan w:val="2"/>
            <w:vAlign w:val="center"/>
          </w:tcPr>
          <w:p>
            <w:r>
              <w:t>{{G_unit}}</w:t>
            </w:r>
          </w:p>
        </w:tc>
      </w:tr>
      <w:tr w:rsidR="00326436" w14:paraId="2638CA80" w14:textId="77777777" w:rsidTr="005971A0">
        <w:trPr>
          <w:trHeight w:val="1651"/>
          <w:jc w:val="center"/>
        </w:trPr>
        <w:tc>
          <w:tcPr>
            <w:tcW w:w="9653" w:type="dxa"/>
            <w:gridSpan w:val="11"/>
            <w:vAlign w:val="center"/>
          </w:tcPr>
          <w:p w14:paraId="5D2DF200" w14:textId="77777777" w:rsidR="00326436" w:rsidRDefault="00326436" w:rsidP="005971A0"/>
          <w:p w14:paraId="46A9CA22" w14:textId="5A8DC689" w:rsidR="00326436" w:rsidRDefault="00326436" w:rsidP="005971A0">
            <w:r>
              <w:rPr>
                <w:b/>
                <w:bCs/>
              </w:rPr>
              <w:t>Clinical Significance:</w:t>
            </w:r>
            <w:r>
              <w:t xml:space="preserve"> </w:t>
            </w:r>
            <w:r w:rsidRPr="00326436">
              <w:t xml:space="preserve">Participates in immunity, reflects the body's immune status, and together with albumin, </w:t>
            </w:r>
            <w:proofErr w:type="gramStart"/>
            <w:r w:rsidRPr="00326436">
              <w:t>judges</w:t>
            </w:r>
            <w:proofErr w:type="gramEnd"/>
            <w:r w:rsidRPr="00326436">
              <w:t xml:space="preserve"> liver diseases and immune diseases. Normal reference value: 20 - 30g/L</w:t>
            </w:r>
            <w:r>
              <w:t>.</w:t>
            </w:r>
          </w:p>
          <w:p w14:paraId="7ABC55E9" w14:textId="54ABF26F" w:rsidR="00326436" w:rsidRDefault="00326436" w:rsidP="005971A0">
            <w:r>
              <w:rPr>
                <w:b/>
                <w:bCs/>
              </w:rPr>
              <w:t>临床意义：</w:t>
            </w:r>
            <w:r w:rsidRPr="00326436">
              <w:t>参与免疫，反映机体免疫状态，与白蛋白协同判断肝脏疾病、免疫疾病。正常参考值：20-30g/L</w:t>
            </w:r>
            <w:r>
              <w:t>。</w:t>
            </w:r>
          </w:p>
        </w:tc>
      </w:tr>
    </w:tbl>
    <w:p w14:paraId="6BBD57E8" w14:textId="77777777" w:rsidR="00326436" w:rsidRDefault="00326436" w:rsidP="00326436">
      <w:pPr>
        <w:pStyle w:val="0"/>
      </w:pPr>
    </w:p>
    <w:p w14:paraId="089C56F3" w14:textId="77777777" w:rsidR="009967D1" w:rsidRPr="00326436"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2AECBFB" w14:textId="77777777">
        <w:trPr>
          <w:trHeight w:hRule="exact" w:val="113"/>
          <w:jc w:val="center"/>
        </w:trPr>
        <w:tc>
          <w:tcPr>
            <w:tcW w:w="1560" w:type="dxa"/>
            <w:gridSpan w:val="2"/>
            <w:tcBorders>
              <w:top w:val="single" w:sz="4" w:space="0" w:color="auto"/>
            </w:tcBorders>
            <w:vAlign w:val="center"/>
          </w:tcPr>
          <w:p w14:paraId="70C04F6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CB28220"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736D48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D83FCC8"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B857846"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A63D352" w14:textId="77777777" w:rsidR="009967D1" w:rsidRDefault="009967D1">
            <w:pPr>
              <w:spacing w:line="300" w:lineRule="exact"/>
              <w:jc w:val="right"/>
              <w:rPr>
                <w:color w:val="323E4F" w:themeColor="text2" w:themeShade="BF"/>
                <w:sz w:val="2"/>
                <w:szCs w:val="2"/>
              </w:rPr>
            </w:pPr>
          </w:p>
        </w:tc>
      </w:tr>
      <w:tr w:rsidR="009967D1" w14:paraId="0368A43C" w14:textId="77777777">
        <w:trPr>
          <w:trHeight w:val="432"/>
          <w:jc w:val="center"/>
        </w:trPr>
        <w:tc>
          <w:tcPr>
            <w:tcW w:w="1150" w:type="dxa"/>
            <w:vAlign w:val="center"/>
          </w:tcPr>
          <w:p w14:paraId="26D411D6" w14:textId="77777777" w:rsidR="009967D1" w:rsidRDefault="0080134E">
            <w:pPr>
              <w:spacing w:line="400" w:lineRule="exact"/>
              <w:jc w:val="center"/>
              <w:rPr>
                <w:b/>
                <w:bCs/>
                <w:color w:val="000000" w:themeColor="text1"/>
                <w:sz w:val="24"/>
              </w:rPr>
            </w:pPr>
            <w:r>
              <w:rPr>
                <w:rFonts w:hint="eastAsia"/>
                <w:b/>
                <w:bCs/>
                <w:color w:val="000000" w:themeColor="text1"/>
                <w:sz w:val="24"/>
              </w:rPr>
              <w:t>A/G</w:t>
            </w:r>
          </w:p>
        </w:tc>
        <w:tc>
          <w:tcPr>
            <w:tcW w:w="2536" w:type="dxa"/>
            <w:gridSpan w:val="2"/>
            <w:vAlign w:val="center"/>
          </w:tcPr>
          <w:p w14:paraId="30BCF451" w14:textId="77777777" w:rsidR="009967D1" w:rsidRDefault="0080134E">
            <w:pPr>
              <w:spacing w:line="400" w:lineRule="exact"/>
              <w:jc w:val="center"/>
              <w:rPr>
                <w:b/>
                <w:bCs/>
                <w:color w:val="000000" w:themeColor="text1"/>
                <w:sz w:val="24"/>
              </w:rPr>
            </w:pPr>
            <w:r>
              <w:rPr>
                <w:rFonts w:hint="eastAsia"/>
                <w:b/>
                <w:bCs/>
                <w:color w:val="000000" w:themeColor="text1"/>
                <w:sz w:val="24"/>
              </w:rPr>
              <w:t>白蛋白 / 球蛋白</w:t>
            </w:r>
          </w:p>
        </w:tc>
        <w:tc>
          <w:tcPr>
            <w:tcW w:w="1754" w:type="dxa"/>
            <w:gridSpan w:val="2"/>
            <w:vAlign w:val="center"/>
          </w:tcPr>
          <w:p w14:paraId="5BF59C65" w14:textId="77777777" w:rsidR="009967D1" w:rsidRDefault="009967D1">
            <w:pPr>
              <w:spacing w:line="400" w:lineRule="exact"/>
              <w:jc w:val="center"/>
              <w:rPr>
                <w:b/>
                <w:bCs/>
                <w:color w:val="000000" w:themeColor="text1"/>
                <w:sz w:val="24"/>
              </w:rPr>
            </w:pPr>
          </w:p>
        </w:tc>
        <w:tc>
          <w:tcPr>
            <w:tcW w:w="825" w:type="dxa"/>
            <w:gridSpan w:val="2"/>
            <w:vAlign w:val="center"/>
          </w:tcPr>
          <w:p w14:paraId="787DA7C7" w14:textId="77777777" w:rsidR="009967D1" w:rsidRDefault="009967D1">
            <w:pPr>
              <w:spacing w:line="400" w:lineRule="exact"/>
              <w:jc w:val="center"/>
              <w:rPr>
                <w:b/>
                <w:bCs/>
                <w:color w:val="000000" w:themeColor="text1"/>
                <w:sz w:val="24"/>
              </w:rPr>
            </w:pPr>
          </w:p>
        </w:tc>
        <w:tc>
          <w:tcPr>
            <w:tcW w:w="1980" w:type="dxa"/>
            <w:gridSpan w:val="2"/>
            <w:vAlign w:val="center"/>
          </w:tcPr>
          <w:p w14:paraId="079A7C60" w14:textId="77777777" w:rsidR="009967D1" w:rsidRDefault="009967D1">
            <w:pPr>
              <w:spacing w:line="400" w:lineRule="exact"/>
              <w:ind w:firstLineChars="100" w:firstLine="245"/>
              <w:jc w:val="center"/>
              <w:rPr>
                <w:b/>
                <w:bCs/>
                <w:color w:val="000000" w:themeColor="text1"/>
                <w:sz w:val="24"/>
              </w:rPr>
            </w:pPr>
          </w:p>
        </w:tc>
        <w:tc>
          <w:tcPr>
            <w:tcW w:w="1408" w:type="dxa"/>
            <w:gridSpan w:val="2"/>
            <w:vAlign w:val="center"/>
          </w:tcPr>
          <w:p w14:paraId="4CA224BF" w14:textId="77777777" w:rsidR="009967D1" w:rsidRDefault="009967D1">
            <w:pPr>
              <w:spacing w:line="400" w:lineRule="exact"/>
              <w:jc w:val="center"/>
              <w:rPr>
                <w:b/>
                <w:bCs/>
                <w:color w:val="000000" w:themeColor="text1"/>
                <w:sz w:val="24"/>
              </w:rPr>
            </w:pPr>
          </w:p>
        </w:tc>
      </w:tr>
      <w:tr w:rsidR="009967D1" w14:paraId="20A43769" w14:textId="77777777">
        <w:trPr>
          <w:trHeight w:val="1651"/>
          <w:jc w:val="center"/>
        </w:trPr>
        <w:tc>
          <w:tcPr>
            <w:tcW w:w="9653" w:type="dxa"/>
            <w:gridSpan w:val="11"/>
            <w:vAlign w:val="center"/>
          </w:tcPr>
          <w:p w14:paraId="6071340A" w14:textId="77777777" w:rsidR="009967D1" w:rsidRDefault="009967D1"/>
          <w:p w14:paraId="71E63DD8" w14:textId="77777777" w:rsidR="009967D1" w:rsidRDefault="0080134E">
            <w:r>
              <w:rPr>
                <w:b/>
                <w:bCs/>
              </w:rPr>
              <w:t>Clinical Significance:</w:t>
            </w:r>
            <w:r>
              <w:t xml:space="preserve"> Evaluates liver function and protein metabolism balance. The normal ratio is 1.5 - 2.5:1.</w:t>
            </w:r>
          </w:p>
          <w:p w14:paraId="28DF7BFC" w14:textId="77777777" w:rsidR="009967D1" w:rsidRDefault="0080134E">
            <w:r>
              <w:rPr>
                <w:b/>
                <w:bCs/>
              </w:rPr>
              <w:t>临床意义：</w:t>
            </w:r>
            <w:r>
              <w:t>评估肝脏功能、蛋白代谢平衡，正常比值1.5-2.5:1。</w:t>
            </w:r>
          </w:p>
        </w:tc>
      </w:tr>
    </w:tbl>
    <w:p w14:paraId="56EE67D9" w14:textId="77777777" w:rsidR="009967D1" w:rsidRDefault="009967D1" w:rsidP="004619DA">
      <w:pPr>
        <w:pStyle w:val="0"/>
      </w:pPr>
    </w:p>
    <w:p w14:paraId="1312CC3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0CBC3E7" w14:textId="77777777">
        <w:trPr>
          <w:trHeight w:hRule="exact" w:val="113"/>
          <w:jc w:val="center"/>
        </w:trPr>
        <w:tc>
          <w:tcPr>
            <w:tcW w:w="1560" w:type="dxa"/>
            <w:gridSpan w:val="2"/>
            <w:tcBorders>
              <w:top w:val="single" w:sz="4" w:space="0" w:color="auto"/>
            </w:tcBorders>
            <w:vAlign w:val="center"/>
          </w:tcPr>
          <w:p w14:paraId="533158C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726F135"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C0032D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EABC2A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E57DC0F"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BA1FF4A" w14:textId="77777777" w:rsidR="009967D1" w:rsidRDefault="009967D1">
            <w:pPr>
              <w:spacing w:line="300" w:lineRule="exact"/>
              <w:jc w:val="right"/>
              <w:rPr>
                <w:color w:val="323E4F" w:themeColor="text2" w:themeShade="BF"/>
                <w:sz w:val="2"/>
                <w:szCs w:val="2"/>
              </w:rPr>
            </w:pPr>
          </w:p>
        </w:tc>
      </w:tr>
      <w:tr w:rsidR="009967D1" w14:paraId="1318B824" w14:textId="77777777">
        <w:trPr>
          <w:trHeight w:val="432"/>
          <w:jc w:val="center"/>
        </w:trPr>
        <w:tc>
          <w:tcPr>
            <w:tcW w:w="1150" w:type="dxa"/>
            <w:vAlign w:val="center"/>
          </w:tcPr>
          <w:p w14:paraId="74273EB8" w14:textId="75BAE173" w:rsidR="009967D1" w:rsidRDefault="0080134E">
            <w:pPr>
              <w:spacing w:line="400" w:lineRule="exact"/>
              <w:jc w:val="center"/>
              <w:rPr>
                <w:b/>
                <w:bCs/>
                <w:color w:val="000000" w:themeColor="text1"/>
                <w:sz w:val="24"/>
              </w:rPr>
            </w:pPr>
            <w:r>
              <w:rPr>
                <w:rFonts w:hint="eastAsia"/>
                <w:b/>
                <w:bCs/>
                <w:color w:val="000000" w:themeColor="text1"/>
                <w:sz w:val="24"/>
              </w:rPr>
              <w:t>TBi</w:t>
            </w:r>
            <w:r w:rsidR="0027578D">
              <w:rPr>
                <w:rFonts w:hint="eastAsia"/>
                <w:b/>
                <w:bCs/>
                <w:color w:val="000000" w:themeColor="text1"/>
                <w:sz w:val="24"/>
              </w:rPr>
              <w:t>l</w:t>
            </w:r>
          </w:p>
        </w:tc>
        <w:tc>
          <w:tcPr>
            <w:tcW w:w="2536" w:type="dxa"/>
            <w:gridSpan w:val="2"/>
            <w:vAlign w:val="center"/>
          </w:tcPr>
          <w:p w14:paraId="209E15D4" w14:textId="77777777" w:rsidR="009967D1" w:rsidRDefault="0080134E">
            <w:pPr>
              <w:spacing w:line="400" w:lineRule="exact"/>
              <w:jc w:val="center"/>
              <w:rPr>
                <w:b/>
                <w:bCs/>
                <w:color w:val="000000" w:themeColor="text1"/>
                <w:sz w:val="24"/>
              </w:rPr>
            </w:pPr>
            <w:r>
              <w:rPr>
                <w:rFonts w:hint="eastAsia"/>
                <w:b/>
                <w:bCs/>
                <w:color w:val="000000" w:themeColor="text1"/>
                <w:sz w:val="24"/>
              </w:rPr>
              <w:t>总胆红素</w:t>
            </w:r>
          </w:p>
        </w:tc>
        <w:tc>
          <w:tcPr>
            <w:tcW w:w="1754" w:type="dxa"/>
            <w:gridSpan w:val="2"/>
            <w:vAlign w:val="center"/>
          </w:tcPr>
          <w:p>
            <w:r>
              <w:t>{{TBIL_result}}</w:t>
            </w:r>
          </w:p>
        </w:tc>
        <w:tc>
          <w:tcPr>
            <w:tcW w:w="825" w:type="dxa"/>
            <w:gridSpan w:val="2"/>
            <w:vAlign w:val="center"/>
          </w:tcPr>
          <w:p>
            <w:r>
              <w:t>{{TBIL_point}}</w:t>
            </w:r>
          </w:p>
        </w:tc>
        <w:tc>
          <w:tcPr>
            <w:tcW w:w="1980" w:type="dxa"/>
            <w:gridSpan w:val="2"/>
            <w:vAlign w:val="center"/>
          </w:tcPr>
          <w:p>
            <w:r>
              <w:t>{{TBIL_refer}}</w:t>
            </w:r>
          </w:p>
        </w:tc>
        <w:tc>
          <w:tcPr>
            <w:tcW w:w="1408" w:type="dxa"/>
            <w:gridSpan w:val="2"/>
            <w:vAlign w:val="center"/>
          </w:tcPr>
          <w:p>
            <w:r>
              <w:t>{{TBIL_unit}}</w:t>
            </w:r>
          </w:p>
        </w:tc>
      </w:tr>
      <w:tr w:rsidR="009967D1" w14:paraId="7CC85717" w14:textId="77777777">
        <w:trPr>
          <w:trHeight w:val="1651"/>
          <w:jc w:val="center"/>
        </w:trPr>
        <w:tc>
          <w:tcPr>
            <w:tcW w:w="9653" w:type="dxa"/>
            <w:gridSpan w:val="11"/>
            <w:vAlign w:val="center"/>
          </w:tcPr>
          <w:p w14:paraId="365CF3C7" w14:textId="77777777" w:rsidR="009967D1" w:rsidRDefault="009967D1"/>
          <w:p w14:paraId="2700E3B3" w14:textId="77777777" w:rsidR="009967D1" w:rsidRDefault="0080134E">
            <w:r>
              <w:rPr>
                <w:b/>
                <w:bCs/>
              </w:rPr>
              <w:t>Clinical Significance:</w:t>
            </w:r>
            <w:r>
              <w:t xml:space="preserve"> Reflects hepatocyte damage and bile excretion, assisting in the diagnosis of jaundice types (hemolytic, hepatocellular, obstructive). Normal reference value: 3.4 - 17.1μmol/L.</w:t>
            </w:r>
          </w:p>
          <w:p w14:paraId="682C0BAA" w14:textId="77777777" w:rsidR="009967D1" w:rsidRDefault="0080134E">
            <w:r>
              <w:rPr>
                <w:b/>
                <w:bCs/>
              </w:rPr>
              <w:t>临床意义：</w:t>
            </w:r>
            <w:r>
              <w:t>反映肝细胞损伤、胆汁排泄情况，协助诊断黄疸类型（溶血性、肝细胞性、梗阻性）。正常参考值：3.4-17.1μmol/L。</w:t>
            </w:r>
          </w:p>
        </w:tc>
      </w:tr>
    </w:tbl>
    <w:p w14:paraId="2CC2017F" w14:textId="77777777" w:rsidR="009967D1" w:rsidRDefault="009967D1" w:rsidP="004619DA">
      <w:pPr>
        <w:pStyle w:val="0"/>
      </w:pPr>
    </w:p>
    <w:p w14:paraId="29C02D72"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316D7CC" w14:textId="77777777">
        <w:trPr>
          <w:trHeight w:hRule="exact" w:val="113"/>
          <w:jc w:val="center"/>
        </w:trPr>
        <w:tc>
          <w:tcPr>
            <w:tcW w:w="1560" w:type="dxa"/>
            <w:gridSpan w:val="2"/>
            <w:tcBorders>
              <w:top w:val="single" w:sz="4" w:space="0" w:color="auto"/>
            </w:tcBorders>
            <w:vAlign w:val="center"/>
          </w:tcPr>
          <w:p w14:paraId="4C9C2CC1"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E6DC6C0"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46E770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CD9727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D08B26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1B18A63" w14:textId="77777777" w:rsidR="009967D1" w:rsidRDefault="009967D1">
            <w:pPr>
              <w:spacing w:line="300" w:lineRule="exact"/>
              <w:jc w:val="right"/>
              <w:rPr>
                <w:color w:val="323E4F" w:themeColor="text2" w:themeShade="BF"/>
                <w:sz w:val="2"/>
                <w:szCs w:val="2"/>
              </w:rPr>
            </w:pPr>
          </w:p>
        </w:tc>
      </w:tr>
      <w:tr w:rsidR="009967D1" w14:paraId="2F73FF27" w14:textId="77777777">
        <w:trPr>
          <w:trHeight w:val="432"/>
          <w:jc w:val="center"/>
        </w:trPr>
        <w:tc>
          <w:tcPr>
            <w:tcW w:w="1150" w:type="dxa"/>
            <w:vAlign w:val="center"/>
          </w:tcPr>
          <w:p w14:paraId="4E619329" w14:textId="1D034095" w:rsidR="009967D1" w:rsidRDefault="0080134E">
            <w:pPr>
              <w:spacing w:line="400" w:lineRule="exact"/>
              <w:jc w:val="center"/>
              <w:rPr>
                <w:b/>
                <w:bCs/>
                <w:color w:val="000000" w:themeColor="text1"/>
                <w:sz w:val="24"/>
              </w:rPr>
            </w:pPr>
            <w:r>
              <w:rPr>
                <w:rFonts w:hint="eastAsia"/>
                <w:b/>
                <w:bCs/>
                <w:color w:val="000000" w:themeColor="text1"/>
                <w:sz w:val="24"/>
              </w:rPr>
              <w:t>DBi</w:t>
            </w:r>
            <w:r w:rsidR="0027578D">
              <w:rPr>
                <w:rFonts w:hint="eastAsia"/>
                <w:b/>
                <w:bCs/>
                <w:color w:val="000000" w:themeColor="text1"/>
                <w:sz w:val="24"/>
              </w:rPr>
              <w:t>l</w:t>
            </w:r>
          </w:p>
        </w:tc>
        <w:tc>
          <w:tcPr>
            <w:tcW w:w="2536" w:type="dxa"/>
            <w:gridSpan w:val="2"/>
            <w:vAlign w:val="center"/>
          </w:tcPr>
          <w:p w14:paraId="105774DF" w14:textId="77777777" w:rsidR="009967D1" w:rsidRDefault="0080134E">
            <w:pPr>
              <w:spacing w:line="400" w:lineRule="exact"/>
              <w:jc w:val="center"/>
              <w:rPr>
                <w:b/>
                <w:bCs/>
                <w:color w:val="000000" w:themeColor="text1"/>
                <w:sz w:val="24"/>
              </w:rPr>
            </w:pPr>
            <w:r>
              <w:rPr>
                <w:rFonts w:hint="eastAsia"/>
                <w:b/>
                <w:bCs/>
                <w:color w:val="000000" w:themeColor="text1"/>
                <w:sz w:val="24"/>
              </w:rPr>
              <w:t>直接胆红素</w:t>
            </w:r>
          </w:p>
        </w:tc>
        <w:tc>
          <w:tcPr>
            <w:tcW w:w="1754" w:type="dxa"/>
            <w:gridSpan w:val="2"/>
            <w:vAlign w:val="center"/>
          </w:tcPr>
          <w:p>
            <w:r>
              <w:t>{{DBIL_result}}</w:t>
            </w:r>
          </w:p>
        </w:tc>
        <w:tc>
          <w:tcPr>
            <w:tcW w:w="825" w:type="dxa"/>
            <w:gridSpan w:val="2"/>
            <w:vAlign w:val="center"/>
          </w:tcPr>
          <w:p>
            <w:r>
              <w:t>{{DBIL_point}}</w:t>
            </w:r>
          </w:p>
        </w:tc>
        <w:tc>
          <w:tcPr>
            <w:tcW w:w="1980" w:type="dxa"/>
            <w:gridSpan w:val="2"/>
            <w:vAlign w:val="center"/>
          </w:tcPr>
          <w:p>
            <w:r>
              <w:t>{{DBIL_refer}}</w:t>
            </w:r>
          </w:p>
        </w:tc>
        <w:tc>
          <w:tcPr>
            <w:tcW w:w="1408" w:type="dxa"/>
            <w:gridSpan w:val="2"/>
            <w:vAlign w:val="center"/>
          </w:tcPr>
          <w:p>
            <w:r>
              <w:t>{{DBIL_unit}}</w:t>
            </w:r>
          </w:p>
        </w:tc>
      </w:tr>
      <w:tr w:rsidR="009967D1" w14:paraId="60B5F981" w14:textId="77777777">
        <w:trPr>
          <w:trHeight w:val="1651"/>
          <w:jc w:val="center"/>
        </w:trPr>
        <w:tc>
          <w:tcPr>
            <w:tcW w:w="9653" w:type="dxa"/>
            <w:gridSpan w:val="11"/>
            <w:vAlign w:val="center"/>
          </w:tcPr>
          <w:p w14:paraId="101056CF" w14:textId="77777777" w:rsidR="009967D1" w:rsidRDefault="009967D1"/>
          <w:p w14:paraId="5DDEFC4B" w14:textId="77777777" w:rsidR="009967D1" w:rsidRDefault="0080134E">
            <w:r>
              <w:rPr>
                <w:b/>
                <w:bCs/>
              </w:rPr>
              <w:t>Clinical Significance:</w:t>
            </w:r>
            <w:r>
              <w:t xml:space="preserve"> Also known as conjugated bilirubin, reflects hepatocyte processing of bilirubin and biliary excretion function, assisting in jaundice identification. Normal reference value: 0 - 6.8μmol/L.</w:t>
            </w:r>
          </w:p>
          <w:p w14:paraId="4E81B2D2" w14:textId="77777777" w:rsidR="009967D1" w:rsidRDefault="0080134E">
            <w:r>
              <w:rPr>
                <w:b/>
                <w:bCs/>
              </w:rPr>
              <w:t>临床意义：</w:t>
            </w:r>
            <w:r>
              <w:t>又称结合胆红素，反映肝细胞处理胆红素及胆道排泄功能，辅助黄疸鉴别。正常参考值：0-6.8μmol/L。</w:t>
            </w:r>
          </w:p>
        </w:tc>
      </w:tr>
    </w:tbl>
    <w:p w14:paraId="4031B430" w14:textId="77777777" w:rsidR="009967D1" w:rsidRDefault="009967D1" w:rsidP="004619DA">
      <w:pPr>
        <w:pStyle w:val="0"/>
      </w:pPr>
    </w:p>
    <w:p w14:paraId="4DDA659C"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4CEF405" w14:textId="77777777">
        <w:trPr>
          <w:trHeight w:hRule="exact" w:val="113"/>
          <w:jc w:val="center"/>
        </w:trPr>
        <w:tc>
          <w:tcPr>
            <w:tcW w:w="1560" w:type="dxa"/>
            <w:gridSpan w:val="2"/>
            <w:tcBorders>
              <w:top w:val="single" w:sz="4" w:space="0" w:color="auto"/>
            </w:tcBorders>
            <w:vAlign w:val="center"/>
          </w:tcPr>
          <w:p w14:paraId="4E78F926"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1FAFAB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47175D4"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FC2320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80766CF"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EFFC255" w14:textId="77777777" w:rsidR="009967D1" w:rsidRDefault="009967D1">
            <w:pPr>
              <w:spacing w:line="300" w:lineRule="exact"/>
              <w:jc w:val="right"/>
              <w:rPr>
                <w:color w:val="323E4F" w:themeColor="text2" w:themeShade="BF"/>
                <w:sz w:val="2"/>
                <w:szCs w:val="2"/>
              </w:rPr>
            </w:pPr>
          </w:p>
        </w:tc>
      </w:tr>
      <w:tr w:rsidR="009967D1" w14:paraId="3CA47ED2" w14:textId="77777777">
        <w:trPr>
          <w:trHeight w:val="432"/>
          <w:jc w:val="center"/>
        </w:trPr>
        <w:tc>
          <w:tcPr>
            <w:tcW w:w="1150" w:type="dxa"/>
            <w:vAlign w:val="center"/>
          </w:tcPr>
          <w:p w14:paraId="2274460D" w14:textId="18B5DEE7" w:rsidR="009967D1" w:rsidRDefault="0080134E">
            <w:pPr>
              <w:spacing w:line="400" w:lineRule="exact"/>
              <w:jc w:val="center"/>
              <w:rPr>
                <w:b/>
                <w:bCs/>
                <w:color w:val="000000" w:themeColor="text1"/>
                <w:sz w:val="24"/>
              </w:rPr>
            </w:pPr>
            <w:r>
              <w:rPr>
                <w:rFonts w:hint="eastAsia"/>
                <w:b/>
                <w:bCs/>
                <w:color w:val="000000" w:themeColor="text1"/>
                <w:sz w:val="24"/>
              </w:rPr>
              <w:t>IBi</w:t>
            </w:r>
            <w:r w:rsidR="0027578D">
              <w:rPr>
                <w:rFonts w:hint="eastAsia"/>
                <w:b/>
                <w:bCs/>
                <w:color w:val="000000" w:themeColor="text1"/>
                <w:sz w:val="24"/>
              </w:rPr>
              <w:t>l</w:t>
            </w:r>
          </w:p>
        </w:tc>
        <w:tc>
          <w:tcPr>
            <w:tcW w:w="2536" w:type="dxa"/>
            <w:gridSpan w:val="2"/>
            <w:vAlign w:val="center"/>
          </w:tcPr>
          <w:p w14:paraId="61B01938" w14:textId="77777777" w:rsidR="009967D1" w:rsidRDefault="0080134E">
            <w:pPr>
              <w:spacing w:line="400" w:lineRule="exact"/>
              <w:jc w:val="center"/>
              <w:rPr>
                <w:b/>
                <w:bCs/>
                <w:color w:val="000000" w:themeColor="text1"/>
                <w:sz w:val="24"/>
              </w:rPr>
            </w:pPr>
            <w:r>
              <w:rPr>
                <w:rFonts w:hint="eastAsia"/>
                <w:b/>
                <w:bCs/>
                <w:color w:val="000000" w:themeColor="text1"/>
                <w:sz w:val="24"/>
              </w:rPr>
              <w:t>间接胆红素</w:t>
            </w:r>
          </w:p>
        </w:tc>
        <w:tc>
          <w:tcPr>
            <w:tcW w:w="1754" w:type="dxa"/>
            <w:gridSpan w:val="2"/>
            <w:vAlign w:val="center"/>
          </w:tcPr>
          <w:p w14:paraId="3BC45189" w14:textId="77777777" w:rsidR="009967D1" w:rsidRDefault="009967D1">
            <w:pPr>
              <w:spacing w:line="400" w:lineRule="exact"/>
              <w:jc w:val="center"/>
              <w:rPr>
                <w:b/>
                <w:bCs/>
                <w:color w:val="000000" w:themeColor="text1"/>
                <w:sz w:val="24"/>
              </w:rPr>
            </w:pPr>
          </w:p>
        </w:tc>
        <w:tc>
          <w:tcPr>
            <w:tcW w:w="825" w:type="dxa"/>
            <w:gridSpan w:val="2"/>
            <w:vAlign w:val="center"/>
          </w:tcPr>
          <w:p w14:paraId="7578C697" w14:textId="77777777" w:rsidR="009967D1" w:rsidRDefault="009967D1">
            <w:pPr>
              <w:spacing w:line="400" w:lineRule="exact"/>
              <w:jc w:val="center"/>
              <w:rPr>
                <w:b/>
                <w:bCs/>
                <w:color w:val="000000" w:themeColor="text1"/>
                <w:sz w:val="24"/>
              </w:rPr>
            </w:pPr>
          </w:p>
        </w:tc>
        <w:tc>
          <w:tcPr>
            <w:tcW w:w="1980" w:type="dxa"/>
            <w:gridSpan w:val="2"/>
            <w:vAlign w:val="center"/>
          </w:tcPr>
          <w:p w14:paraId="3567762F" w14:textId="77777777" w:rsidR="009967D1" w:rsidRDefault="009967D1">
            <w:pPr>
              <w:spacing w:line="400" w:lineRule="exact"/>
              <w:ind w:firstLineChars="100" w:firstLine="245"/>
              <w:jc w:val="center"/>
              <w:rPr>
                <w:b/>
                <w:bCs/>
                <w:color w:val="000000" w:themeColor="text1"/>
                <w:sz w:val="24"/>
              </w:rPr>
            </w:pPr>
          </w:p>
        </w:tc>
        <w:tc>
          <w:tcPr>
            <w:tcW w:w="1408" w:type="dxa"/>
            <w:gridSpan w:val="2"/>
            <w:vAlign w:val="center"/>
          </w:tcPr>
          <w:p w14:paraId="5D2DAF21" w14:textId="77777777" w:rsidR="009967D1" w:rsidRDefault="009967D1">
            <w:pPr>
              <w:spacing w:line="400" w:lineRule="exact"/>
              <w:jc w:val="center"/>
              <w:rPr>
                <w:b/>
                <w:bCs/>
                <w:color w:val="000000" w:themeColor="text1"/>
                <w:sz w:val="24"/>
              </w:rPr>
            </w:pPr>
          </w:p>
        </w:tc>
      </w:tr>
      <w:tr w:rsidR="009967D1" w14:paraId="77744056" w14:textId="77777777">
        <w:trPr>
          <w:trHeight w:val="1651"/>
          <w:jc w:val="center"/>
        </w:trPr>
        <w:tc>
          <w:tcPr>
            <w:tcW w:w="9653" w:type="dxa"/>
            <w:gridSpan w:val="11"/>
            <w:vAlign w:val="center"/>
          </w:tcPr>
          <w:p w14:paraId="0DA22578" w14:textId="77777777" w:rsidR="009967D1" w:rsidRDefault="009967D1"/>
          <w:p w14:paraId="208424A4" w14:textId="77777777" w:rsidR="009967D1" w:rsidRDefault="0080134E">
            <w:r>
              <w:rPr>
                <w:b/>
                <w:bCs/>
              </w:rPr>
              <w:t>Clinical Significance:</w:t>
            </w:r>
            <w:r>
              <w:t xml:space="preserve"> Also known as unconjugated bilirubin, reflects red blood cell destruction and the liver's initial metabolic capacity, assisting in jaundice identification. Normal reference value: 3.4 - 10.2μmol/L (calculated by TBi - DBi).</w:t>
            </w:r>
          </w:p>
          <w:p w14:paraId="087E7C53" w14:textId="77777777" w:rsidR="009967D1" w:rsidRDefault="0080134E">
            <w:r>
              <w:rPr>
                <w:b/>
                <w:bCs/>
              </w:rPr>
              <w:t>临床意义：</w:t>
            </w:r>
            <w:r>
              <w:t>又称非结合胆红素，反映红细胞破坏及肝脏初步代谢能力，辅助黄疸鉴别。正常参考值：3.4-10.2μmol/L（TBi-DBi计算得）。</w:t>
            </w:r>
          </w:p>
        </w:tc>
      </w:tr>
    </w:tbl>
    <w:p w14:paraId="41D50852" w14:textId="77777777" w:rsidR="009967D1" w:rsidRDefault="009967D1" w:rsidP="004619DA">
      <w:pPr>
        <w:pStyle w:val="0"/>
      </w:pPr>
    </w:p>
    <w:p w14:paraId="24AD0CF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352F93B" w14:textId="77777777">
        <w:trPr>
          <w:trHeight w:hRule="exact" w:val="113"/>
          <w:jc w:val="center"/>
        </w:trPr>
        <w:tc>
          <w:tcPr>
            <w:tcW w:w="1560" w:type="dxa"/>
            <w:gridSpan w:val="2"/>
            <w:tcBorders>
              <w:top w:val="single" w:sz="4" w:space="0" w:color="auto"/>
            </w:tcBorders>
            <w:vAlign w:val="center"/>
          </w:tcPr>
          <w:p w14:paraId="1DD7AED6"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65AFD50"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BB4E16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537B8C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5B8A95F"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8467DBF" w14:textId="77777777" w:rsidR="009967D1" w:rsidRDefault="009967D1">
            <w:pPr>
              <w:spacing w:line="300" w:lineRule="exact"/>
              <w:jc w:val="right"/>
              <w:rPr>
                <w:color w:val="323E4F" w:themeColor="text2" w:themeShade="BF"/>
                <w:sz w:val="2"/>
                <w:szCs w:val="2"/>
              </w:rPr>
            </w:pPr>
          </w:p>
        </w:tc>
      </w:tr>
      <w:tr w:rsidR="009967D1" w14:paraId="41A551C2" w14:textId="77777777">
        <w:trPr>
          <w:trHeight w:val="432"/>
          <w:jc w:val="center"/>
        </w:trPr>
        <w:tc>
          <w:tcPr>
            <w:tcW w:w="1150" w:type="dxa"/>
            <w:vAlign w:val="center"/>
          </w:tcPr>
          <w:p w14:paraId="4130150A" w14:textId="77777777" w:rsidR="009967D1" w:rsidRDefault="0080134E">
            <w:pPr>
              <w:spacing w:line="400" w:lineRule="exact"/>
              <w:jc w:val="center"/>
              <w:rPr>
                <w:b/>
                <w:bCs/>
                <w:color w:val="000000" w:themeColor="text1"/>
                <w:sz w:val="24"/>
              </w:rPr>
            </w:pPr>
            <w:r>
              <w:rPr>
                <w:rFonts w:hint="eastAsia"/>
                <w:b/>
                <w:bCs/>
                <w:color w:val="000000" w:themeColor="text1"/>
                <w:sz w:val="24"/>
              </w:rPr>
              <w:t>ALP</w:t>
            </w:r>
          </w:p>
        </w:tc>
        <w:tc>
          <w:tcPr>
            <w:tcW w:w="2536" w:type="dxa"/>
            <w:gridSpan w:val="2"/>
            <w:vAlign w:val="center"/>
          </w:tcPr>
          <w:p w14:paraId="6CA3FAD8" w14:textId="77777777" w:rsidR="009967D1" w:rsidRDefault="0080134E">
            <w:pPr>
              <w:spacing w:line="400" w:lineRule="exact"/>
              <w:jc w:val="center"/>
              <w:rPr>
                <w:b/>
                <w:bCs/>
                <w:color w:val="000000" w:themeColor="text1"/>
                <w:sz w:val="24"/>
              </w:rPr>
            </w:pPr>
            <w:r>
              <w:rPr>
                <w:rFonts w:hint="eastAsia"/>
                <w:b/>
                <w:bCs/>
                <w:color w:val="000000" w:themeColor="text1"/>
                <w:sz w:val="24"/>
              </w:rPr>
              <w:t>碱性磷酸酶</w:t>
            </w:r>
          </w:p>
        </w:tc>
        <w:tc>
          <w:tcPr>
            <w:tcW w:w="1754" w:type="dxa"/>
            <w:gridSpan w:val="2"/>
            <w:vAlign w:val="center"/>
          </w:tcPr>
          <w:p>
            <w:r>
              <w:t>{{ALP_result}}</w:t>
            </w:r>
          </w:p>
        </w:tc>
        <w:tc>
          <w:tcPr>
            <w:tcW w:w="825" w:type="dxa"/>
            <w:gridSpan w:val="2"/>
            <w:vAlign w:val="center"/>
          </w:tcPr>
          <w:p>
            <w:r>
              <w:t>{{ALP_point}}</w:t>
            </w:r>
          </w:p>
        </w:tc>
        <w:tc>
          <w:tcPr>
            <w:tcW w:w="1980" w:type="dxa"/>
            <w:gridSpan w:val="2"/>
            <w:vAlign w:val="center"/>
          </w:tcPr>
          <w:p>
            <w:r>
              <w:t>{{ALP_refer}}</w:t>
            </w:r>
          </w:p>
        </w:tc>
        <w:tc>
          <w:tcPr>
            <w:tcW w:w="1408" w:type="dxa"/>
            <w:gridSpan w:val="2"/>
            <w:vAlign w:val="center"/>
          </w:tcPr>
          <w:p>
            <w:r>
              <w:t>{{ALP_unit}}</w:t>
            </w:r>
          </w:p>
        </w:tc>
      </w:tr>
      <w:tr w:rsidR="009967D1" w14:paraId="2435250F" w14:textId="77777777">
        <w:trPr>
          <w:trHeight w:val="1651"/>
          <w:jc w:val="center"/>
        </w:trPr>
        <w:tc>
          <w:tcPr>
            <w:tcW w:w="9653" w:type="dxa"/>
            <w:gridSpan w:val="11"/>
            <w:vAlign w:val="center"/>
          </w:tcPr>
          <w:p w14:paraId="7E3E6633" w14:textId="77777777" w:rsidR="009967D1" w:rsidRDefault="009967D1"/>
          <w:p w14:paraId="3AE3B3DB" w14:textId="77777777" w:rsidR="009967D1" w:rsidRDefault="0080134E">
            <w:r>
              <w:rPr>
                <w:b/>
                <w:bCs/>
              </w:rPr>
              <w:t>Clinical Significance:</w:t>
            </w:r>
            <w:r>
              <w:t xml:space="preserve"> Reflects hepatocyte damage and biliary </w:t>
            </w:r>
            <w:proofErr w:type="gramStart"/>
            <w:r>
              <w:t>obstruction, and</w:t>
            </w:r>
            <w:proofErr w:type="gramEnd"/>
            <w:r>
              <w:t xml:space="preserve"> is also used to diagnose bone metabolic diseases (such as rickets, bone tumors). Normal reference value: 45 - 125U/L (adults); children and adolescents may have higher values due to bone development.</w:t>
            </w:r>
          </w:p>
          <w:p w14:paraId="4C779FAA" w14:textId="77777777" w:rsidR="009967D1" w:rsidRDefault="0080134E">
            <w:r>
              <w:rPr>
                <w:b/>
                <w:bCs/>
              </w:rPr>
              <w:t>临床意义：</w:t>
            </w:r>
            <w:r>
              <w:t>反映肝细胞损伤、胆道梗阻，也用于诊断骨代谢疾病（如佝偻病、骨肿瘤）。正常参考值：45-125U/L（成人）；儿童、青少年因骨骼发育，数值可更高。</w:t>
            </w:r>
          </w:p>
        </w:tc>
      </w:tr>
    </w:tbl>
    <w:p w14:paraId="25DB844C" w14:textId="77777777" w:rsidR="009967D1" w:rsidRDefault="009967D1" w:rsidP="004619DA">
      <w:pPr>
        <w:pStyle w:val="0"/>
      </w:pPr>
    </w:p>
    <w:p w14:paraId="716F14E6"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D549C7A" w14:textId="77777777">
        <w:trPr>
          <w:trHeight w:hRule="exact" w:val="113"/>
          <w:jc w:val="center"/>
        </w:trPr>
        <w:tc>
          <w:tcPr>
            <w:tcW w:w="1560" w:type="dxa"/>
            <w:gridSpan w:val="2"/>
            <w:tcBorders>
              <w:top w:val="single" w:sz="4" w:space="0" w:color="auto"/>
            </w:tcBorders>
            <w:vAlign w:val="center"/>
          </w:tcPr>
          <w:p w14:paraId="4D81ABB9"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2A5AEE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9338D7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9C6D4E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BE20453"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8CCA14B" w14:textId="77777777" w:rsidR="009967D1" w:rsidRDefault="009967D1">
            <w:pPr>
              <w:spacing w:line="300" w:lineRule="exact"/>
              <w:jc w:val="right"/>
              <w:rPr>
                <w:color w:val="323E4F" w:themeColor="text2" w:themeShade="BF"/>
                <w:sz w:val="2"/>
                <w:szCs w:val="2"/>
              </w:rPr>
            </w:pPr>
          </w:p>
        </w:tc>
      </w:tr>
      <w:tr w:rsidR="009967D1" w14:paraId="536EC499" w14:textId="77777777">
        <w:trPr>
          <w:trHeight w:val="432"/>
          <w:jc w:val="center"/>
        </w:trPr>
        <w:tc>
          <w:tcPr>
            <w:tcW w:w="1150" w:type="dxa"/>
            <w:vAlign w:val="center"/>
          </w:tcPr>
          <w:p w14:paraId="6203D32E" w14:textId="77777777" w:rsidR="009967D1" w:rsidRDefault="0080134E">
            <w:pPr>
              <w:spacing w:line="400" w:lineRule="exact"/>
              <w:jc w:val="center"/>
              <w:rPr>
                <w:b/>
                <w:bCs/>
                <w:color w:val="000000" w:themeColor="text1"/>
                <w:sz w:val="24"/>
              </w:rPr>
            </w:pPr>
            <w:r>
              <w:rPr>
                <w:rFonts w:hint="eastAsia"/>
                <w:b/>
                <w:bCs/>
                <w:color w:val="000000" w:themeColor="text1"/>
                <w:sz w:val="24"/>
              </w:rPr>
              <w:t>ALT</w:t>
            </w:r>
          </w:p>
        </w:tc>
        <w:tc>
          <w:tcPr>
            <w:tcW w:w="2536" w:type="dxa"/>
            <w:gridSpan w:val="2"/>
            <w:vAlign w:val="center"/>
          </w:tcPr>
          <w:p w14:paraId="47C963E7" w14:textId="77777777" w:rsidR="009967D1" w:rsidRDefault="0080134E">
            <w:pPr>
              <w:spacing w:line="400" w:lineRule="exact"/>
              <w:jc w:val="center"/>
              <w:rPr>
                <w:b/>
                <w:bCs/>
                <w:color w:val="000000" w:themeColor="text1"/>
                <w:sz w:val="24"/>
              </w:rPr>
            </w:pPr>
            <w:r>
              <w:rPr>
                <w:rFonts w:hint="eastAsia"/>
                <w:b/>
                <w:bCs/>
                <w:color w:val="000000" w:themeColor="text1"/>
                <w:sz w:val="24"/>
              </w:rPr>
              <w:t>丙氨酸氨基转移酶</w:t>
            </w:r>
          </w:p>
        </w:tc>
        <w:tc>
          <w:tcPr>
            <w:tcW w:w="1754" w:type="dxa"/>
            <w:gridSpan w:val="2"/>
            <w:vAlign w:val="center"/>
          </w:tcPr>
          <w:p>
            <w:r>
              <w:t>{{ALT_result}}</w:t>
            </w:r>
          </w:p>
        </w:tc>
        <w:tc>
          <w:tcPr>
            <w:tcW w:w="825" w:type="dxa"/>
            <w:gridSpan w:val="2"/>
            <w:vAlign w:val="center"/>
          </w:tcPr>
          <w:p>
            <w:r>
              <w:t>{{ALT_point}}</w:t>
            </w:r>
          </w:p>
        </w:tc>
        <w:tc>
          <w:tcPr>
            <w:tcW w:w="1980" w:type="dxa"/>
            <w:gridSpan w:val="2"/>
            <w:vAlign w:val="center"/>
          </w:tcPr>
          <w:p>
            <w:r>
              <w:t>{{ALT_refer}}</w:t>
            </w:r>
          </w:p>
        </w:tc>
        <w:tc>
          <w:tcPr>
            <w:tcW w:w="1408" w:type="dxa"/>
            <w:gridSpan w:val="2"/>
            <w:vAlign w:val="center"/>
          </w:tcPr>
          <w:p>
            <w:r>
              <w:t>{{ALT_unit}}</w:t>
            </w:r>
          </w:p>
        </w:tc>
      </w:tr>
      <w:tr w:rsidR="009967D1" w14:paraId="26AC1011" w14:textId="77777777">
        <w:trPr>
          <w:trHeight w:val="1651"/>
          <w:jc w:val="center"/>
        </w:trPr>
        <w:tc>
          <w:tcPr>
            <w:tcW w:w="9653" w:type="dxa"/>
            <w:gridSpan w:val="11"/>
            <w:vAlign w:val="center"/>
          </w:tcPr>
          <w:p w14:paraId="5B78FF9E" w14:textId="77777777" w:rsidR="009967D1" w:rsidRDefault="009967D1"/>
          <w:p w14:paraId="4BF328AA" w14:textId="77777777" w:rsidR="009967D1" w:rsidRDefault="0080134E">
            <w:r>
              <w:rPr>
                <w:b/>
                <w:bCs/>
              </w:rPr>
              <w:t>Clinical Significance:</w:t>
            </w:r>
            <w:r>
              <w:t xml:space="preserve"> A sensitive indicator of hepatocyte damage, which increases in the early stage of hepatitis, drug - induced liver injury, etc. Normal reference value: 7 - 40U/L (there may be differences in different reagents).</w:t>
            </w:r>
          </w:p>
          <w:p w14:paraId="4A6BDA8C" w14:textId="77777777" w:rsidR="009967D1" w:rsidRDefault="0080134E">
            <w:r>
              <w:rPr>
                <w:b/>
                <w:bCs/>
              </w:rPr>
              <w:t>临床意义：</w:t>
            </w:r>
            <w:r>
              <w:t>肝细胞损伤敏感指标，肝炎、药物肝损伤等早期即升高。正常参考值：7-40U/L（不同试剂有差异）。</w:t>
            </w:r>
          </w:p>
        </w:tc>
      </w:tr>
    </w:tbl>
    <w:p w14:paraId="31F1228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AEA342A" w14:textId="77777777">
        <w:trPr>
          <w:trHeight w:hRule="exact" w:val="113"/>
          <w:jc w:val="center"/>
        </w:trPr>
        <w:tc>
          <w:tcPr>
            <w:tcW w:w="1560" w:type="dxa"/>
            <w:gridSpan w:val="2"/>
            <w:tcBorders>
              <w:top w:val="single" w:sz="4" w:space="0" w:color="auto"/>
            </w:tcBorders>
            <w:vAlign w:val="center"/>
          </w:tcPr>
          <w:p w14:paraId="0AC6AAC1"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2915E72"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DE0F4F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A22480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0320A0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AB7DEC6" w14:textId="77777777" w:rsidR="009967D1" w:rsidRDefault="009967D1">
            <w:pPr>
              <w:spacing w:line="300" w:lineRule="exact"/>
              <w:jc w:val="right"/>
              <w:rPr>
                <w:color w:val="323E4F" w:themeColor="text2" w:themeShade="BF"/>
                <w:sz w:val="2"/>
                <w:szCs w:val="2"/>
              </w:rPr>
            </w:pPr>
          </w:p>
        </w:tc>
      </w:tr>
      <w:tr w:rsidR="009967D1" w14:paraId="490336F4" w14:textId="77777777">
        <w:trPr>
          <w:trHeight w:val="432"/>
          <w:jc w:val="center"/>
        </w:trPr>
        <w:tc>
          <w:tcPr>
            <w:tcW w:w="1150" w:type="dxa"/>
            <w:vAlign w:val="center"/>
          </w:tcPr>
          <w:p w14:paraId="55DFE7C1" w14:textId="77777777" w:rsidR="009967D1" w:rsidRDefault="0080134E">
            <w:pPr>
              <w:spacing w:line="400" w:lineRule="exact"/>
              <w:jc w:val="center"/>
              <w:rPr>
                <w:b/>
                <w:bCs/>
                <w:color w:val="000000" w:themeColor="text1"/>
                <w:sz w:val="24"/>
              </w:rPr>
            </w:pPr>
            <w:r>
              <w:rPr>
                <w:rFonts w:hint="eastAsia"/>
                <w:b/>
                <w:bCs/>
                <w:color w:val="000000" w:themeColor="text1"/>
                <w:sz w:val="24"/>
              </w:rPr>
              <w:t>AST</w:t>
            </w:r>
          </w:p>
        </w:tc>
        <w:tc>
          <w:tcPr>
            <w:tcW w:w="2536" w:type="dxa"/>
            <w:gridSpan w:val="2"/>
            <w:vAlign w:val="center"/>
          </w:tcPr>
          <w:p w14:paraId="09CAAF4F" w14:textId="77777777" w:rsidR="009967D1" w:rsidRDefault="0080134E">
            <w:pPr>
              <w:spacing w:line="400" w:lineRule="exact"/>
              <w:jc w:val="center"/>
              <w:rPr>
                <w:b/>
                <w:bCs/>
                <w:color w:val="000000" w:themeColor="text1"/>
                <w:sz w:val="24"/>
              </w:rPr>
            </w:pPr>
            <w:r>
              <w:rPr>
                <w:rFonts w:hint="eastAsia"/>
                <w:b/>
                <w:bCs/>
                <w:color w:val="000000" w:themeColor="text1"/>
                <w:sz w:val="24"/>
              </w:rPr>
              <w:t>天门冬氨酸氨基转移酶</w:t>
            </w:r>
          </w:p>
        </w:tc>
        <w:tc>
          <w:tcPr>
            <w:tcW w:w="1754" w:type="dxa"/>
            <w:gridSpan w:val="2"/>
            <w:vAlign w:val="center"/>
          </w:tcPr>
          <w:p>
            <w:r>
              <w:t>{{AST_result}}</w:t>
            </w:r>
          </w:p>
        </w:tc>
        <w:tc>
          <w:tcPr>
            <w:tcW w:w="825" w:type="dxa"/>
            <w:gridSpan w:val="2"/>
            <w:vAlign w:val="center"/>
          </w:tcPr>
          <w:p>
            <w:r>
              <w:t>{{AST_point}}</w:t>
            </w:r>
          </w:p>
        </w:tc>
        <w:tc>
          <w:tcPr>
            <w:tcW w:w="1980" w:type="dxa"/>
            <w:gridSpan w:val="2"/>
            <w:vAlign w:val="center"/>
          </w:tcPr>
          <w:p>
            <w:r>
              <w:t>{{AST_refer}}</w:t>
            </w:r>
          </w:p>
        </w:tc>
        <w:tc>
          <w:tcPr>
            <w:tcW w:w="1408" w:type="dxa"/>
            <w:gridSpan w:val="2"/>
            <w:vAlign w:val="center"/>
          </w:tcPr>
          <w:p>
            <w:r>
              <w:t>{{AST_unit}}</w:t>
            </w:r>
          </w:p>
        </w:tc>
      </w:tr>
      <w:tr w:rsidR="009967D1" w14:paraId="14AA2E54" w14:textId="77777777">
        <w:trPr>
          <w:trHeight w:val="1651"/>
          <w:jc w:val="center"/>
        </w:trPr>
        <w:tc>
          <w:tcPr>
            <w:tcW w:w="9653" w:type="dxa"/>
            <w:gridSpan w:val="11"/>
            <w:vAlign w:val="center"/>
          </w:tcPr>
          <w:p w14:paraId="1B600CAE" w14:textId="77777777" w:rsidR="009967D1" w:rsidRDefault="0080134E">
            <w:r>
              <w:rPr>
                <w:b/>
                <w:bCs/>
              </w:rPr>
              <w:t>Clinical Significance:</w:t>
            </w:r>
            <w:r>
              <w:t xml:space="preserve"> An indicator of myocardial, liver, and skeletal muscle damage. It increases in myocardial </w:t>
            </w:r>
            <w:proofErr w:type="gramStart"/>
            <w:r>
              <w:t>infarction, and</w:t>
            </w:r>
            <w:proofErr w:type="gramEnd"/>
            <w:r>
              <w:t xml:space="preserve"> can also be abnormal in liver diseases and muscle diseases. Normal reference value: 13 - 35U/L.</w:t>
            </w:r>
          </w:p>
          <w:p w14:paraId="4ED3211D" w14:textId="77777777" w:rsidR="009967D1" w:rsidRDefault="0080134E">
            <w:r>
              <w:rPr>
                <w:b/>
                <w:bCs/>
              </w:rPr>
              <w:t>临床意义：</w:t>
            </w:r>
            <w:r>
              <w:t>心肌、肝脏、骨骼肌损伤指标，心肌梗死时升高，肝病、肌肉疾病也可异常。正常参考值：13-35U/L。</w:t>
            </w:r>
          </w:p>
        </w:tc>
      </w:tr>
    </w:tbl>
    <w:p w14:paraId="5FC0095B" w14:textId="77777777" w:rsidR="009967D1" w:rsidRDefault="009967D1" w:rsidP="004619DA">
      <w:pPr>
        <w:pStyle w:val="0"/>
      </w:pPr>
    </w:p>
    <w:p w14:paraId="6533D4C7"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C7347E5" w14:textId="77777777">
        <w:trPr>
          <w:trHeight w:hRule="exact" w:val="113"/>
          <w:jc w:val="center"/>
        </w:trPr>
        <w:tc>
          <w:tcPr>
            <w:tcW w:w="1560" w:type="dxa"/>
            <w:gridSpan w:val="2"/>
            <w:tcBorders>
              <w:top w:val="single" w:sz="4" w:space="0" w:color="auto"/>
            </w:tcBorders>
            <w:vAlign w:val="center"/>
          </w:tcPr>
          <w:p w14:paraId="1076C5A4"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788D4E8"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75CA83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8AD2675"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5A93B5C"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856FEA1" w14:textId="77777777" w:rsidR="009967D1" w:rsidRDefault="009967D1">
            <w:pPr>
              <w:spacing w:line="300" w:lineRule="exact"/>
              <w:jc w:val="right"/>
              <w:rPr>
                <w:color w:val="323E4F" w:themeColor="text2" w:themeShade="BF"/>
                <w:sz w:val="2"/>
                <w:szCs w:val="2"/>
              </w:rPr>
            </w:pPr>
          </w:p>
        </w:tc>
      </w:tr>
      <w:tr w:rsidR="009967D1" w14:paraId="6B6D9987" w14:textId="77777777">
        <w:trPr>
          <w:trHeight w:val="432"/>
          <w:jc w:val="center"/>
        </w:trPr>
        <w:tc>
          <w:tcPr>
            <w:tcW w:w="1150" w:type="dxa"/>
            <w:vAlign w:val="center"/>
          </w:tcPr>
          <w:p w14:paraId="7D99FB1F" w14:textId="77777777" w:rsidR="009967D1" w:rsidRDefault="0080134E">
            <w:pPr>
              <w:spacing w:line="400" w:lineRule="exact"/>
              <w:jc w:val="center"/>
              <w:rPr>
                <w:b/>
                <w:bCs/>
                <w:color w:val="000000" w:themeColor="text1"/>
                <w:sz w:val="24"/>
              </w:rPr>
            </w:pPr>
            <w:r>
              <w:rPr>
                <w:rFonts w:hint="eastAsia"/>
                <w:b/>
                <w:bCs/>
                <w:color w:val="000000" w:themeColor="text1"/>
                <w:sz w:val="24"/>
              </w:rPr>
              <w:t>GGT</w:t>
            </w:r>
          </w:p>
        </w:tc>
        <w:tc>
          <w:tcPr>
            <w:tcW w:w="2536" w:type="dxa"/>
            <w:gridSpan w:val="2"/>
            <w:vAlign w:val="center"/>
          </w:tcPr>
          <w:p w14:paraId="1743D9C9" w14:textId="77777777" w:rsidR="009967D1" w:rsidRDefault="0080134E">
            <w:pPr>
              <w:spacing w:line="400" w:lineRule="exact"/>
              <w:jc w:val="center"/>
              <w:rPr>
                <w:b/>
                <w:bCs/>
                <w:color w:val="000000" w:themeColor="text1"/>
                <w:sz w:val="24"/>
              </w:rPr>
            </w:pPr>
            <w:r>
              <w:rPr>
                <w:rFonts w:hint="eastAsia"/>
                <w:b/>
                <w:bCs/>
                <w:color w:val="000000" w:themeColor="text1"/>
                <w:sz w:val="24"/>
              </w:rPr>
              <w:t>γ - 谷氨酰转移酶</w:t>
            </w:r>
          </w:p>
        </w:tc>
        <w:tc>
          <w:tcPr>
            <w:tcW w:w="1754" w:type="dxa"/>
            <w:gridSpan w:val="2"/>
            <w:vAlign w:val="center"/>
          </w:tcPr>
          <w:p>
            <w:r>
              <w:t>{{GGT_result}}</w:t>
            </w:r>
          </w:p>
        </w:tc>
        <w:tc>
          <w:tcPr>
            <w:tcW w:w="825" w:type="dxa"/>
            <w:gridSpan w:val="2"/>
            <w:vAlign w:val="center"/>
          </w:tcPr>
          <w:p>
            <w:r>
              <w:t>{{GGT_point}}</w:t>
            </w:r>
          </w:p>
        </w:tc>
        <w:tc>
          <w:tcPr>
            <w:tcW w:w="1980" w:type="dxa"/>
            <w:gridSpan w:val="2"/>
            <w:vAlign w:val="center"/>
          </w:tcPr>
          <w:p>
            <w:r>
              <w:t>{{GGT_refer}}</w:t>
            </w:r>
          </w:p>
        </w:tc>
        <w:tc>
          <w:tcPr>
            <w:tcW w:w="1408" w:type="dxa"/>
            <w:gridSpan w:val="2"/>
            <w:vAlign w:val="center"/>
          </w:tcPr>
          <w:p>
            <w:r>
              <w:t>{{GGT_unit}}</w:t>
            </w:r>
          </w:p>
        </w:tc>
      </w:tr>
      <w:tr w:rsidR="009967D1" w14:paraId="3BB67089" w14:textId="77777777">
        <w:trPr>
          <w:trHeight w:val="1651"/>
          <w:jc w:val="center"/>
        </w:trPr>
        <w:tc>
          <w:tcPr>
            <w:tcW w:w="9653" w:type="dxa"/>
            <w:gridSpan w:val="11"/>
            <w:vAlign w:val="center"/>
          </w:tcPr>
          <w:p w14:paraId="66A7C2D5" w14:textId="77777777" w:rsidR="009967D1" w:rsidRDefault="009967D1"/>
          <w:p w14:paraId="4CEA49B5" w14:textId="77777777" w:rsidR="009967D1" w:rsidRDefault="0080134E">
            <w:r>
              <w:rPr>
                <w:b/>
                <w:bCs/>
              </w:rPr>
              <w:t>Clinical Significance:</w:t>
            </w:r>
            <w:r>
              <w:t xml:space="preserve"> Reflects hepatocyte damage and biliary </w:t>
            </w:r>
            <w:proofErr w:type="gramStart"/>
            <w:r>
              <w:t>obstruction, and</w:t>
            </w:r>
            <w:proofErr w:type="gramEnd"/>
            <w:r>
              <w:t xml:space="preserve"> is of auxiliary value in the diagnosis of alcoholic liver disease and liver cancer. Normal reference value: 7 - 45U/L (adults).</w:t>
            </w:r>
          </w:p>
          <w:p w14:paraId="531A86E9" w14:textId="77777777" w:rsidR="009967D1" w:rsidRDefault="0080134E">
            <w:r>
              <w:rPr>
                <w:b/>
                <w:bCs/>
              </w:rPr>
              <w:t>临床意义：</w:t>
            </w:r>
            <w:r>
              <w:t>反映肝细胞损伤、胆道梗阻，对酒精性肝病、肝癌诊断有辅助价值。正常参考值：7-45U/L（成人）。</w:t>
            </w:r>
          </w:p>
        </w:tc>
      </w:tr>
    </w:tbl>
    <w:p w14:paraId="61081414" w14:textId="77777777" w:rsidR="009967D1" w:rsidRDefault="009967D1" w:rsidP="004619DA">
      <w:pPr>
        <w:pStyle w:val="0"/>
      </w:pPr>
    </w:p>
    <w:p w14:paraId="0DF73B14"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354F4D28" w14:textId="0E49C6BD" w:rsidR="00B02BD7" w:rsidRDefault="00B02BD7" w:rsidP="00B02BD7">
      <w:pPr>
        <w:pStyle w:val="3-"/>
      </w:pPr>
      <w:r>
        <w:rPr>
          <w:rFonts w:hint="eastAsia"/>
        </w:rPr>
        <w:lastRenderedPageBreak/>
        <w:t>Kidney Function</w:t>
      </w:r>
      <w:r>
        <w:br/>
      </w:r>
      <w:r w:rsidR="0080134E">
        <w:rPr>
          <w:rFonts w:hint="eastAsia"/>
        </w:rPr>
        <w:t>肾功能</w:t>
      </w:r>
    </w:p>
    <w:p w14:paraId="786ADAB8" w14:textId="77777777" w:rsidR="00B02BD7" w:rsidRPr="00B02BD7" w:rsidRDefault="00B02BD7" w:rsidP="00B02BD7">
      <w:pPr>
        <w:pStyle w:val="0"/>
      </w:pPr>
    </w:p>
    <w:p w14:paraId="13E9E02C" w14:textId="34744FFB" w:rsidR="00B02BD7" w:rsidRDefault="00B02BD7" w:rsidP="00B02BD7">
      <w:pPr>
        <w:pStyle w:val="00"/>
      </w:pPr>
      <w:r w:rsidRPr="00B02BD7">
        <w:t>Kidney function tests (KFTs) are vital laboratory assessments used to evaluate renal health and excretory function. By measuring serum creatinine (Scr), blood urea nitrogen (BUN), and uric acid (UA), these tests reflect the efficiency of glomerular filtration, tubular reabsorption, and the excretion of metabolic waste. The kidneys play a crucial role in eliminating metabolic byproducts and maintaining electrolyte and acid-base balance. Because kidney dysfunction often remains asymptomatic in its early stages, regular monitoring is essential for early detection.</w:t>
      </w:r>
    </w:p>
    <w:p w14:paraId="33E82F00" w14:textId="630FEAAB" w:rsidR="00B02BD7" w:rsidRDefault="00B02BD7" w:rsidP="00B02BD7">
      <w:pPr>
        <w:pStyle w:val="0"/>
      </w:pPr>
      <w:r>
        <w:t>肾功能检测是评估肾脏健康与排泄代谢功能的重要实验室检查，主要通过检测血清肌酐（</w:t>
      </w:r>
      <w:r>
        <w:t>Scr</w:t>
      </w:r>
      <w:r>
        <w:t>）、血尿素氮（</w:t>
      </w:r>
      <w:r>
        <w:t>BUN</w:t>
      </w:r>
      <w:r>
        <w:t>）、尿酸（</w:t>
      </w:r>
      <w:r>
        <w:t>UA</w:t>
      </w:r>
      <w:r>
        <w:t>）等指标，反映肾小球滤过、肾小管重吸收及代谢废物排泄的状况。肾脏是人体的重要代谢器官，负责清除体内代谢产物、维持电解质与酸碱平衡，一旦功能受损，常在早期无明显症状，因此定期检测对疾病的早期发现尤为关键。</w:t>
      </w:r>
    </w:p>
    <w:p w14:paraId="6D5FD349" w14:textId="599176A3" w:rsidR="00B02BD7" w:rsidRDefault="00B02BD7" w:rsidP="00B02BD7">
      <w:pPr>
        <w:pStyle w:val="00"/>
      </w:pPr>
      <w:r w:rsidRPr="00B02BD7">
        <w:t xml:space="preserve">Serum creatinine is a key indicator for estimating glomerular filtration rate (GFR), with elevated levels suggesting impaired renal function. Blood urea nitrogen reflects protein metabolism and renal excretory function, influenced by diet, liver function, and hydration status; elevated levels may indicate renal insufficiency or dehydration. Uric acid, the </w:t>
      </w:r>
      <w:proofErr w:type="gramStart"/>
      <w:r w:rsidRPr="00B02BD7">
        <w:t>end product</w:t>
      </w:r>
      <w:proofErr w:type="gramEnd"/>
      <w:r w:rsidRPr="00B02BD7">
        <w:t xml:space="preserve"> of purine metabolism, is closely related to renal excretion capacity. Elevated UA may not only suggest impaired renal clearance but is also strongly associated with hyperuricemia, gout, and metabolic syndrome.</w:t>
      </w:r>
    </w:p>
    <w:p w14:paraId="103991E1" w14:textId="77777777" w:rsidR="00B02BD7" w:rsidRDefault="00B02BD7" w:rsidP="00B02BD7">
      <w:pPr>
        <w:pStyle w:val="0"/>
      </w:pPr>
      <w:r>
        <w:t>血清肌酐是评估肾小球滤过率（</w:t>
      </w:r>
      <w:r>
        <w:t>GFR</w:t>
      </w:r>
      <w:r>
        <w:t>）的核心指标，当肾功能下降时，血肌酐水平会逐渐升高。血尿素氮反映蛋白质代谢与肾脏排泄功能，受饮食、肝功能及水分摄入影响，异常升高提示可能存在肾功能不全或脱水。尿酸是嘌呤代谢的终产物，其水平与肾脏排泄能力密切相关，升高不仅可能提示肾脏排泄障碍，还与高尿酸血症、痛风及代谢综合征密切相关。</w:t>
      </w:r>
    </w:p>
    <w:p w14:paraId="0B9E300B" w14:textId="5E07105E" w:rsidR="00B02BD7" w:rsidRDefault="00B02BD7" w:rsidP="00B02BD7">
      <w:pPr>
        <w:pStyle w:val="00"/>
      </w:pPr>
      <w:r w:rsidRPr="00B02BD7">
        <w:t>In preventive healthcare, kidney function tests aid in the early identification of chronic kidney disease, acute kidney injury, metabolic disturbances, and related complications, particularly in individuals with hypertension, diabetes, obesity, or long-term medication use. Results also provide valuable guidance for nutrition and lifestyle interventions, such as dietary modification, exercise planning, and hydration strategies.</w:t>
      </w:r>
    </w:p>
    <w:p w14:paraId="4727F745" w14:textId="3D302125" w:rsidR="00272239" w:rsidRDefault="00B02BD7" w:rsidP="003A75BB">
      <w:pPr>
        <w:pStyle w:val="0"/>
      </w:pPr>
      <w:r>
        <w:t>在健康管理中，肾功能检测有助于早期识别慢性肾病、急性肾损伤、代谢紊乱及相关并发症，尤其适用于高血压、糖尿病、肥胖和长期用药人群。同时，检测结果也可为营养与生活方式干预提供科学依据，如饮食调节、运动管理与水分摄入指导。</w:t>
      </w:r>
    </w:p>
    <w:p w14:paraId="0B4D0268" w14:textId="79AC3E7B" w:rsidR="00272239" w:rsidRDefault="00272239" w:rsidP="003A75BB">
      <w:pPr>
        <w:pStyle w:val="0"/>
      </w:pPr>
      <w:r w:rsidRPr="009E1205">
        <w:rPr>
          <w:noProof/>
        </w:rPr>
        <w:drawing>
          <wp:anchor distT="0" distB="0" distL="114300" distR="114300" simplePos="0" relativeHeight="251680768" behindDoc="0" locked="0" layoutInCell="1" allowOverlap="1" wp14:anchorId="747A8C83" wp14:editId="11279A4A">
            <wp:simplePos x="0" y="0"/>
            <wp:positionH relativeFrom="column">
              <wp:posOffset>1270</wp:posOffset>
            </wp:positionH>
            <wp:positionV relativeFrom="paragraph">
              <wp:posOffset>344805</wp:posOffset>
            </wp:positionV>
            <wp:extent cx="6080125" cy="1706245"/>
            <wp:effectExtent l="0" t="0" r="3175" b="0"/>
            <wp:wrapNone/>
            <wp:docPr id="7109530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953045" name="图片 1"/>
                    <pic:cNvPicPr/>
                  </pic:nvPicPr>
                  <pic:blipFill rotWithShape="1">
                    <a:blip r:embed="rId22">
                      <a:extLst>
                        <a:ext uri="{28A0092B-C50C-407E-A947-70E740481C1C}">
                          <a14:useLocalDpi xmlns:a14="http://schemas.microsoft.com/office/drawing/2010/main" val="0"/>
                        </a:ext>
                      </a:extLst>
                    </a:blip>
                    <a:srcRect t="30075" b="27787"/>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00F820B" w14:textId="04ACF128" w:rsidR="00272239" w:rsidRDefault="00272239" w:rsidP="003A75BB">
      <w:pPr>
        <w:pStyle w:val="0"/>
      </w:pPr>
    </w:p>
    <w:p w14:paraId="07A44595" w14:textId="24620967" w:rsidR="009967D1" w:rsidRDefault="0080134E" w:rsidP="003A75BB">
      <w:pPr>
        <w:pStyle w:val="0"/>
      </w:pPr>
      <w:r>
        <w:br w:type="page"/>
      </w:r>
    </w:p>
    <w:p w14:paraId="440E0DAA"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A3F685A" w14:textId="77777777">
        <w:trPr>
          <w:trHeight w:val="839"/>
          <w:jc w:val="center"/>
        </w:trPr>
        <w:tc>
          <w:tcPr>
            <w:tcW w:w="1150" w:type="dxa"/>
            <w:tcBorders>
              <w:top w:val="single" w:sz="4" w:space="0" w:color="auto"/>
              <w:bottom w:val="single" w:sz="4" w:space="0" w:color="auto"/>
            </w:tcBorders>
            <w:vAlign w:val="center"/>
          </w:tcPr>
          <w:p w14:paraId="6A2F16D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2B8CE98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57E8110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7CE1EE5D"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0282682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5FE2C8D4"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73F6BCF2" w14:textId="77777777">
        <w:trPr>
          <w:trHeight w:val="1111"/>
          <w:jc w:val="center"/>
        </w:trPr>
        <w:tc>
          <w:tcPr>
            <w:tcW w:w="9653" w:type="dxa"/>
            <w:gridSpan w:val="11"/>
            <w:tcBorders>
              <w:top w:val="single" w:sz="4" w:space="0" w:color="auto"/>
              <w:bottom w:val="single" w:sz="4" w:space="0" w:color="auto"/>
            </w:tcBorders>
            <w:vAlign w:val="center"/>
          </w:tcPr>
          <w:p w14:paraId="0D930E6E"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Kidney Function</w:t>
            </w:r>
          </w:p>
          <w:p w14:paraId="5D9D3B3F"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肾功能</w:t>
            </w:r>
          </w:p>
        </w:tc>
      </w:tr>
      <w:tr w:rsidR="009967D1" w14:paraId="0B861E44" w14:textId="77777777">
        <w:trPr>
          <w:trHeight w:hRule="exact" w:val="113"/>
          <w:jc w:val="center"/>
        </w:trPr>
        <w:tc>
          <w:tcPr>
            <w:tcW w:w="1560" w:type="dxa"/>
            <w:gridSpan w:val="2"/>
            <w:tcBorders>
              <w:top w:val="single" w:sz="4" w:space="0" w:color="auto"/>
            </w:tcBorders>
            <w:vAlign w:val="center"/>
          </w:tcPr>
          <w:p w14:paraId="5BBB80AE"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3447B4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53A84D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1065C4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C100B62"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E91696B" w14:textId="77777777" w:rsidR="009967D1" w:rsidRDefault="009967D1">
            <w:pPr>
              <w:spacing w:line="300" w:lineRule="exact"/>
              <w:jc w:val="right"/>
              <w:rPr>
                <w:color w:val="323E4F" w:themeColor="text2" w:themeShade="BF"/>
                <w:sz w:val="2"/>
                <w:szCs w:val="2"/>
              </w:rPr>
            </w:pPr>
          </w:p>
        </w:tc>
      </w:tr>
      <w:tr w:rsidR="009967D1" w14:paraId="6ABE4B30" w14:textId="77777777">
        <w:trPr>
          <w:trHeight w:val="432"/>
          <w:jc w:val="center"/>
        </w:trPr>
        <w:tc>
          <w:tcPr>
            <w:tcW w:w="1150" w:type="dxa"/>
            <w:vAlign w:val="center"/>
          </w:tcPr>
          <w:p w14:paraId="3343DBDD" w14:textId="77777777" w:rsidR="009967D1" w:rsidRDefault="0080134E">
            <w:pPr>
              <w:spacing w:line="400" w:lineRule="exact"/>
              <w:jc w:val="center"/>
              <w:rPr>
                <w:b/>
                <w:bCs/>
                <w:color w:val="000000" w:themeColor="text1"/>
                <w:sz w:val="24"/>
              </w:rPr>
            </w:pPr>
            <w:r>
              <w:rPr>
                <w:rFonts w:hint="eastAsia"/>
                <w:b/>
                <w:bCs/>
                <w:color w:val="000000" w:themeColor="text1"/>
                <w:sz w:val="24"/>
              </w:rPr>
              <w:t>Scr</w:t>
            </w:r>
          </w:p>
        </w:tc>
        <w:tc>
          <w:tcPr>
            <w:tcW w:w="2536" w:type="dxa"/>
            <w:gridSpan w:val="2"/>
            <w:vAlign w:val="center"/>
          </w:tcPr>
          <w:p w14:paraId="4D5679DD" w14:textId="77777777" w:rsidR="009967D1" w:rsidRDefault="0080134E">
            <w:pPr>
              <w:spacing w:line="400" w:lineRule="exact"/>
              <w:jc w:val="center"/>
              <w:rPr>
                <w:b/>
                <w:bCs/>
                <w:color w:val="000000" w:themeColor="text1"/>
                <w:sz w:val="24"/>
              </w:rPr>
            </w:pPr>
            <w:r>
              <w:rPr>
                <w:rFonts w:hint="eastAsia"/>
                <w:b/>
                <w:bCs/>
                <w:color w:val="000000" w:themeColor="text1"/>
                <w:sz w:val="24"/>
              </w:rPr>
              <w:t>血清肌酐</w:t>
            </w:r>
          </w:p>
        </w:tc>
        <w:tc>
          <w:tcPr>
            <w:tcW w:w="1754" w:type="dxa"/>
            <w:gridSpan w:val="2"/>
            <w:vAlign w:val="center"/>
          </w:tcPr>
          <w:p>
            <w:r>
              <w:t>{{SCR_result}}</w:t>
            </w:r>
          </w:p>
        </w:tc>
        <w:tc>
          <w:tcPr>
            <w:tcW w:w="825" w:type="dxa"/>
            <w:gridSpan w:val="2"/>
            <w:vAlign w:val="center"/>
          </w:tcPr>
          <w:p>
            <w:r>
              <w:t>{{SCR_point}}</w:t>
            </w:r>
          </w:p>
        </w:tc>
        <w:tc>
          <w:tcPr>
            <w:tcW w:w="1980" w:type="dxa"/>
            <w:gridSpan w:val="2"/>
            <w:vAlign w:val="center"/>
          </w:tcPr>
          <w:p>
            <w:r>
              <w:t>{{SCR_refer}}</w:t>
            </w:r>
          </w:p>
        </w:tc>
        <w:tc>
          <w:tcPr>
            <w:tcW w:w="1408" w:type="dxa"/>
            <w:gridSpan w:val="2"/>
            <w:vAlign w:val="center"/>
          </w:tcPr>
          <w:p>
            <w:r>
              <w:t>{{SCR_unit}}</w:t>
            </w:r>
          </w:p>
        </w:tc>
      </w:tr>
      <w:tr w:rsidR="009967D1" w14:paraId="504D3F5B" w14:textId="77777777">
        <w:trPr>
          <w:trHeight w:val="1651"/>
          <w:jc w:val="center"/>
        </w:trPr>
        <w:tc>
          <w:tcPr>
            <w:tcW w:w="9653" w:type="dxa"/>
            <w:gridSpan w:val="11"/>
            <w:vAlign w:val="center"/>
          </w:tcPr>
          <w:p w14:paraId="21575F1C" w14:textId="77777777" w:rsidR="009967D1" w:rsidRDefault="009967D1"/>
          <w:p w14:paraId="2FE87383" w14:textId="77777777" w:rsidR="009967D1" w:rsidRDefault="0080134E">
            <w:r>
              <w:rPr>
                <w:b/>
                <w:bCs/>
              </w:rPr>
              <w:t>Clinical Significance:</w:t>
            </w:r>
            <w:r>
              <w:t xml:space="preserve"> Reflects glomerular filtration function, evaluates the degree of renal function damage (one of the bases for chronic renal failure staging). Normal reference value: 53 - 106μmol/L for males, 44 - 97μmol/L for females (due to differences in muscle mass).</w:t>
            </w:r>
          </w:p>
          <w:p w14:paraId="03A4473A" w14:textId="77777777" w:rsidR="009967D1" w:rsidRDefault="0080134E">
            <w:r>
              <w:rPr>
                <w:b/>
                <w:bCs/>
              </w:rPr>
              <w:t>临床意义：</w:t>
            </w:r>
            <w:r>
              <w:t>反映肾小球滤过功能，评估肾功能损伤程度（慢性肾衰分期依据之一）。正常参考值：男性53-106μmol/L，女性44-97μmol/L（因肌肉量有差异）。</w:t>
            </w:r>
          </w:p>
        </w:tc>
      </w:tr>
    </w:tbl>
    <w:p w14:paraId="3E84643E" w14:textId="77777777" w:rsidR="009967D1" w:rsidRDefault="009967D1" w:rsidP="004619DA">
      <w:pPr>
        <w:pStyle w:val="0"/>
      </w:pPr>
    </w:p>
    <w:p w14:paraId="780684B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CE3E124" w14:textId="77777777">
        <w:trPr>
          <w:trHeight w:hRule="exact" w:val="113"/>
          <w:jc w:val="center"/>
        </w:trPr>
        <w:tc>
          <w:tcPr>
            <w:tcW w:w="1560" w:type="dxa"/>
            <w:gridSpan w:val="2"/>
            <w:tcBorders>
              <w:top w:val="single" w:sz="4" w:space="0" w:color="auto"/>
            </w:tcBorders>
            <w:vAlign w:val="center"/>
          </w:tcPr>
          <w:p w14:paraId="2D1EA41F"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B8AF6E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D2FCEB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E1B3766"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5291EF1"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594EA0E" w14:textId="77777777" w:rsidR="009967D1" w:rsidRDefault="009967D1">
            <w:pPr>
              <w:spacing w:line="300" w:lineRule="exact"/>
              <w:jc w:val="right"/>
              <w:rPr>
                <w:color w:val="323E4F" w:themeColor="text2" w:themeShade="BF"/>
                <w:sz w:val="2"/>
                <w:szCs w:val="2"/>
              </w:rPr>
            </w:pPr>
          </w:p>
        </w:tc>
      </w:tr>
      <w:tr w:rsidR="009967D1" w14:paraId="548E1426" w14:textId="77777777">
        <w:trPr>
          <w:trHeight w:val="432"/>
          <w:jc w:val="center"/>
        </w:trPr>
        <w:tc>
          <w:tcPr>
            <w:tcW w:w="1150" w:type="dxa"/>
            <w:vAlign w:val="center"/>
          </w:tcPr>
          <w:p w14:paraId="2D411BEA" w14:textId="77777777" w:rsidR="009967D1" w:rsidRDefault="0080134E">
            <w:pPr>
              <w:spacing w:line="400" w:lineRule="exact"/>
              <w:jc w:val="center"/>
              <w:rPr>
                <w:b/>
                <w:bCs/>
                <w:color w:val="000000" w:themeColor="text1"/>
                <w:sz w:val="24"/>
              </w:rPr>
            </w:pPr>
            <w:r>
              <w:rPr>
                <w:rFonts w:hint="eastAsia"/>
                <w:b/>
                <w:bCs/>
                <w:color w:val="000000" w:themeColor="text1"/>
                <w:sz w:val="24"/>
              </w:rPr>
              <w:t>BUN</w:t>
            </w:r>
          </w:p>
        </w:tc>
        <w:tc>
          <w:tcPr>
            <w:tcW w:w="2536" w:type="dxa"/>
            <w:gridSpan w:val="2"/>
            <w:vAlign w:val="center"/>
          </w:tcPr>
          <w:p w14:paraId="35D8A0D2" w14:textId="77777777" w:rsidR="009967D1" w:rsidRDefault="0080134E">
            <w:pPr>
              <w:spacing w:line="400" w:lineRule="exact"/>
              <w:jc w:val="center"/>
              <w:rPr>
                <w:b/>
                <w:bCs/>
                <w:color w:val="000000" w:themeColor="text1"/>
                <w:sz w:val="24"/>
              </w:rPr>
            </w:pPr>
            <w:r>
              <w:rPr>
                <w:rFonts w:hint="eastAsia"/>
                <w:b/>
                <w:bCs/>
                <w:color w:val="000000" w:themeColor="text1"/>
                <w:sz w:val="24"/>
              </w:rPr>
              <w:t>血尿素氮</w:t>
            </w:r>
          </w:p>
        </w:tc>
        <w:tc>
          <w:tcPr>
            <w:tcW w:w="1754" w:type="dxa"/>
            <w:gridSpan w:val="2"/>
            <w:vAlign w:val="center"/>
          </w:tcPr>
          <w:p>
            <w:r>
              <w:t>{{BUN_result}}</w:t>
            </w:r>
          </w:p>
        </w:tc>
        <w:tc>
          <w:tcPr>
            <w:tcW w:w="825" w:type="dxa"/>
            <w:gridSpan w:val="2"/>
            <w:vAlign w:val="center"/>
          </w:tcPr>
          <w:p>
            <w:r>
              <w:t>{{BUN_point}}</w:t>
            </w:r>
          </w:p>
        </w:tc>
        <w:tc>
          <w:tcPr>
            <w:tcW w:w="1980" w:type="dxa"/>
            <w:gridSpan w:val="2"/>
            <w:vAlign w:val="center"/>
          </w:tcPr>
          <w:p>
            <w:r>
              <w:t>{{BUN_refer}}</w:t>
            </w:r>
          </w:p>
        </w:tc>
        <w:tc>
          <w:tcPr>
            <w:tcW w:w="1408" w:type="dxa"/>
            <w:gridSpan w:val="2"/>
            <w:vAlign w:val="center"/>
          </w:tcPr>
          <w:p>
            <w:r>
              <w:t>{{BUN_unit}}</w:t>
            </w:r>
          </w:p>
        </w:tc>
      </w:tr>
      <w:tr w:rsidR="009967D1" w14:paraId="0E9824D9" w14:textId="77777777">
        <w:trPr>
          <w:trHeight w:val="1651"/>
          <w:jc w:val="center"/>
        </w:trPr>
        <w:tc>
          <w:tcPr>
            <w:tcW w:w="9653" w:type="dxa"/>
            <w:gridSpan w:val="11"/>
            <w:vAlign w:val="center"/>
          </w:tcPr>
          <w:p w14:paraId="69A7CAD9" w14:textId="77777777" w:rsidR="009967D1" w:rsidRDefault="009967D1"/>
          <w:p w14:paraId="651DC6E3" w14:textId="77777777" w:rsidR="009967D1" w:rsidRDefault="0080134E">
            <w:r>
              <w:rPr>
                <w:b/>
                <w:bCs/>
              </w:rPr>
              <w:t>Clinical Significance:</w:t>
            </w:r>
            <w:r>
              <w:t xml:space="preserve"> Reflects glomerular filtration function and protein metabolism status (greatly affected by diet and extrarenal factors). Normal reference value: 3.2 - 7.1mmol/L.</w:t>
            </w:r>
          </w:p>
          <w:p w14:paraId="4263ED6C" w14:textId="77777777" w:rsidR="009967D1" w:rsidRDefault="0080134E">
            <w:r>
              <w:rPr>
                <w:b/>
                <w:bCs/>
              </w:rPr>
              <w:t>临床意义：</w:t>
            </w:r>
            <w:r>
              <w:t>反映肾小球滤过功能、蛋白质代谢状态（受饮食、肾外因素影响大）。正常参考值：3.2-7.1mmol/L。</w:t>
            </w:r>
          </w:p>
        </w:tc>
      </w:tr>
    </w:tbl>
    <w:p w14:paraId="7DCA5FC9" w14:textId="77777777" w:rsidR="009967D1" w:rsidRDefault="009967D1" w:rsidP="004619DA">
      <w:pPr>
        <w:pStyle w:val="0"/>
      </w:pPr>
    </w:p>
    <w:p w14:paraId="57C9A2BF"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177CD8C" w14:textId="77777777">
        <w:trPr>
          <w:trHeight w:hRule="exact" w:val="113"/>
          <w:jc w:val="center"/>
        </w:trPr>
        <w:tc>
          <w:tcPr>
            <w:tcW w:w="1560" w:type="dxa"/>
            <w:gridSpan w:val="2"/>
            <w:tcBorders>
              <w:top w:val="single" w:sz="4" w:space="0" w:color="auto"/>
            </w:tcBorders>
            <w:vAlign w:val="center"/>
          </w:tcPr>
          <w:p w14:paraId="6D755579"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95CE5D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BEB202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63C91D1"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CB2D41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38070E5" w14:textId="77777777" w:rsidR="009967D1" w:rsidRDefault="009967D1">
            <w:pPr>
              <w:spacing w:line="300" w:lineRule="exact"/>
              <w:jc w:val="right"/>
              <w:rPr>
                <w:color w:val="323E4F" w:themeColor="text2" w:themeShade="BF"/>
                <w:sz w:val="2"/>
                <w:szCs w:val="2"/>
              </w:rPr>
            </w:pPr>
          </w:p>
        </w:tc>
      </w:tr>
      <w:tr w:rsidR="009967D1" w14:paraId="4A5706E7" w14:textId="77777777">
        <w:trPr>
          <w:trHeight w:val="432"/>
          <w:jc w:val="center"/>
        </w:trPr>
        <w:tc>
          <w:tcPr>
            <w:tcW w:w="1150" w:type="dxa"/>
            <w:vAlign w:val="center"/>
          </w:tcPr>
          <w:p w14:paraId="3C152ADB" w14:textId="04A2C3D1" w:rsidR="009967D1" w:rsidRPr="009E1205" w:rsidRDefault="0080134E">
            <w:pPr>
              <w:spacing w:line="400" w:lineRule="exact"/>
              <w:jc w:val="center"/>
              <w:rPr>
                <w:b/>
                <w:bCs/>
                <w:color w:val="000000" w:themeColor="text1"/>
                <w:sz w:val="24"/>
              </w:rPr>
            </w:pPr>
            <w:r w:rsidRPr="009E1205">
              <w:rPr>
                <w:rFonts w:hint="eastAsia"/>
                <w:b/>
                <w:bCs/>
                <w:color w:val="000000" w:themeColor="text1"/>
                <w:sz w:val="24"/>
              </w:rPr>
              <w:t>U</w:t>
            </w:r>
            <w:r w:rsidR="00E326AE" w:rsidRPr="009E1205">
              <w:rPr>
                <w:b/>
                <w:bCs/>
                <w:color w:val="000000" w:themeColor="text1"/>
                <w:sz w:val="24"/>
              </w:rPr>
              <w:t>A</w:t>
            </w:r>
          </w:p>
        </w:tc>
        <w:tc>
          <w:tcPr>
            <w:tcW w:w="2536" w:type="dxa"/>
            <w:gridSpan w:val="2"/>
            <w:vAlign w:val="center"/>
          </w:tcPr>
          <w:p w14:paraId="1319F9D7" w14:textId="77777777" w:rsidR="009967D1" w:rsidRPr="009E1205" w:rsidRDefault="0080134E">
            <w:pPr>
              <w:spacing w:line="400" w:lineRule="exact"/>
              <w:jc w:val="center"/>
              <w:rPr>
                <w:b/>
                <w:bCs/>
                <w:color w:val="000000" w:themeColor="text1"/>
                <w:sz w:val="24"/>
              </w:rPr>
            </w:pPr>
            <w:r w:rsidRPr="009E1205">
              <w:rPr>
                <w:rFonts w:hint="eastAsia"/>
                <w:b/>
                <w:bCs/>
                <w:color w:val="000000" w:themeColor="text1"/>
                <w:sz w:val="24"/>
              </w:rPr>
              <w:t>尿酸</w:t>
            </w:r>
          </w:p>
        </w:tc>
        <w:tc>
          <w:tcPr>
            <w:tcW w:w="1754" w:type="dxa"/>
            <w:gridSpan w:val="2"/>
            <w:vAlign w:val="center"/>
          </w:tcPr>
          <w:p>
            <w:r>
              <w:t>{{UA_result}}</w:t>
            </w:r>
          </w:p>
        </w:tc>
        <w:tc>
          <w:tcPr>
            <w:tcW w:w="825" w:type="dxa"/>
            <w:gridSpan w:val="2"/>
            <w:vAlign w:val="center"/>
          </w:tcPr>
          <w:p>
            <w:r>
              <w:t>{{UA_point}}</w:t>
            </w:r>
          </w:p>
        </w:tc>
        <w:tc>
          <w:tcPr>
            <w:tcW w:w="1980" w:type="dxa"/>
            <w:gridSpan w:val="2"/>
            <w:vAlign w:val="center"/>
          </w:tcPr>
          <w:p>
            <w:r>
              <w:t>{{UA_refer}}</w:t>
            </w:r>
          </w:p>
        </w:tc>
        <w:tc>
          <w:tcPr>
            <w:tcW w:w="1408" w:type="dxa"/>
            <w:gridSpan w:val="2"/>
            <w:vAlign w:val="center"/>
          </w:tcPr>
          <w:p>
            <w:r>
              <w:t>{{UA_unit}}</w:t>
            </w:r>
          </w:p>
        </w:tc>
      </w:tr>
      <w:tr w:rsidR="009967D1" w14:paraId="1D246667" w14:textId="77777777">
        <w:trPr>
          <w:trHeight w:val="1651"/>
          <w:jc w:val="center"/>
        </w:trPr>
        <w:tc>
          <w:tcPr>
            <w:tcW w:w="9653" w:type="dxa"/>
            <w:gridSpan w:val="11"/>
            <w:vAlign w:val="center"/>
          </w:tcPr>
          <w:p w14:paraId="71C8C481" w14:textId="77777777" w:rsidR="000A3D0E" w:rsidRDefault="000A3D0E">
            <w:pPr>
              <w:rPr>
                <w:b/>
                <w:bCs/>
              </w:rPr>
            </w:pPr>
          </w:p>
          <w:p w14:paraId="5C0CBA22" w14:textId="77777777" w:rsidR="0010662E" w:rsidRDefault="0080134E" w:rsidP="0010662E">
            <w:r>
              <w:rPr>
                <w:b/>
                <w:bCs/>
              </w:rPr>
              <w:t>Clinical Significance:</w:t>
            </w:r>
            <w:r>
              <w:t xml:space="preserve"> </w:t>
            </w:r>
            <w:r w:rsidR="0010662E" w:rsidRPr="0010662E">
              <w:t xml:space="preserve">Reflects the </w:t>
            </w:r>
            <w:proofErr w:type="gramStart"/>
            <w:r w:rsidR="0010662E" w:rsidRPr="0010662E">
              <w:t>end product</w:t>
            </w:r>
            <w:proofErr w:type="gramEnd"/>
            <w:r w:rsidR="0010662E" w:rsidRPr="0010662E">
              <w:t xml:space="preserve"> of purine metabolism and renal excretion. Elevated levels (hyperuricemia) are associated with gout, kidney stones, metabolic syndrome, hypertension, and cardiovascular disease.</w:t>
            </w:r>
          </w:p>
          <w:p w14:paraId="005A2404" w14:textId="4FADDD39" w:rsidR="009967D1" w:rsidRDefault="0080134E" w:rsidP="0010662E">
            <w:r>
              <w:rPr>
                <w:b/>
                <w:bCs/>
              </w:rPr>
              <w:t>临床意义：</w:t>
            </w:r>
            <w:r w:rsidR="0010662E" w:rsidRPr="0010662E">
              <w:t>反映嘌呤代谢终产物及肾脏排泄功能。升高（高尿酸血症）常与痛风、肾结石、代谢综合征、高血压及心血管疾病相关</w:t>
            </w:r>
            <w:r w:rsidR="0010662E">
              <w:rPr>
                <w:rFonts w:hint="eastAsia"/>
              </w:rPr>
              <w:t>。</w:t>
            </w:r>
          </w:p>
        </w:tc>
      </w:tr>
    </w:tbl>
    <w:p w14:paraId="187932B2" w14:textId="77777777" w:rsidR="009967D1" w:rsidRDefault="009967D1" w:rsidP="004619DA">
      <w:pPr>
        <w:pStyle w:val="0"/>
      </w:pPr>
    </w:p>
    <w:p w14:paraId="7C9A9E24"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52B1D638" w14:textId="6A83B984" w:rsidR="009967D1" w:rsidRDefault="000A3D0E" w:rsidP="00A642C1">
      <w:pPr>
        <w:pStyle w:val="3-"/>
      </w:pPr>
      <w:r w:rsidRPr="000A3D0E">
        <w:lastRenderedPageBreak/>
        <w:t xml:space="preserve">Myocardial </w:t>
      </w:r>
      <w:r>
        <w:rPr>
          <w:rFonts w:hint="eastAsia"/>
        </w:rPr>
        <w:t>E</w:t>
      </w:r>
      <w:r w:rsidRPr="000A3D0E">
        <w:t xml:space="preserve">nzyme </w:t>
      </w:r>
      <w:r>
        <w:rPr>
          <w:rFonts w:hint="eastAsia"/>
        </w:rPr>
        <w:t>S</w:t>
      </w:r>
      <w:r w:rsidRPr="000A3D0E">
        <w:t>pectrum</w:t>
      </w:r>
      <w:r>
        <w:br/>
      </w:r>
      <w:r w:rsidR="0080134E">
        <w:rPr>
          <w:rFonts w:hint="eastAsia"/>
        </w:rPr>
        <w:t>心肌酶谱</w:t>
      </w:r>
    </w:p>
    <w:p w14:paraId="1C5164F3" w14:textId="77777777" w:rsidR="000A3D0E" w:rsidRDefault="000A3D0E" w:rsidP="000A3D0E">
      <w:pPr>
        <w:pStyle w:val="0"/>
      </w:pPr>
    </w:p>
    <w:p w14:paraId="7F700ABC" w14:textId="6A091343" w:rsidR="000A3D0E" w:rsidRDefault="000A3D0E" w:rsidP="000A3D0E">
      <w:pPr>
        <w:pStyle w:val="00"/>
      </w:pPr>
      <w:r w:rsidRPr="000A3D0E">
        <w:t>The myocardial enzyme spectrum is an important laboratory assessment for evaluating cardiac injury and muscle metabolism. It primarily includes creatine kinase (CK), lactate dehydrogenase (LDH), and creatine kinase-MB isoenzyme (CK-MB). Under normal conditions, only small amounts of these enzymes are present in the blood. When myocardial or skeletal muscle cells are damaged, intracellular enzymes are released into circulation, leading to elevated serum levels. Thus, myocardial enzyme testing plays a critical role in the diagnosis and monitoring of cardiac diseases.</w:t>
      </w:r>
    </w:p>
    <w:p w14:paraId="152EE510" w14:textId="75FDF856" w:rsidR="000A3D0E" w:rsidRDefault="000A3D0E" w:rsidP="000A3D0E">
      <w:pPr>
        <w:pStyle w:val="0"/>
      </w:pPr>
      <w:r>
        <w:t>心肌酶谱检测是评估心脏损伤与肌肉代谢的重要</w:t>
      </w:r>
      <w:r w:rsidR="00C86393">
        <w:rPr>
          <w:rFonts w:hint="eastAsia"/>
        </w:rPr>
        <w:t>检测</w:t>
      </w:r>
      <w:r>
        <w:t>项目，主要包括肌酸激酶（</w:t>
      </w:r>
      <w:r>
        <w:t>CK</w:t>
      </w:r>
      <w:r>
        <w:t>）、乳酸脱氢酶（</w:t>
      </w:r>
      <w:r>
        <w:t>LDH</w:t>
      </w:r>
      <w:r>
        <w:t>）、肌酸激酶同工酶（</w:t>
      </w:r>
      <w:r>
        <w:t>CK-MB</w:t>
      </w:r>
      <w:r>
        <w:t>）等指标。这些酶在正常情况下仅有少量存在于血液中，当心肌细胞或骨骼肌受损时，细胞内酶会释放入血液，导致血清水平升高。因此，心肌酶谱检测在心脏疾病的诊断与病情监测中具有重要价值。</w:t>
      </w:r>
    </w:p>
    <w:p w14:paraId="43164BB6" w14:textId="65922ED1" w:rsidR="000A3D0E" w:rsidRDefault="000A3D0E" w:rsidP="000A3D0E">
      <w:pPr>
        <w:pStyle w:val="00"/>
      </w:pPr>
      <w:r w:rsidRPr="000A3D0E">
        <w:t>CK is widely distributed in skeletal and cardiac muscle and serves as a sensitive marker of muscle injury. CK-MB is predominantly found in cardiac muscle and is a key biomarker for diagnosing myocardial injury, especially acute myocardial infarction. LDH is present in various tissues and, although less specific, elevated levels may indicate injury to the heart, liver, or other organs. By integrating these parameters, clinicians can evaluate the extent and progression of myocardial damage and differentiate it from systemic tissue injury.</w:t>
      </w:r>
    </w:p>
    <w:p w14:paraId="49636819" w14:textId="77777777" w:rsidR="000A3D0E" w:rsidRDefault="000A3D0E" w:rsidP="000A3D0E">
      <w:pPr>
        <w:pStyle w:val="0"/>
      </w:pPr>
      <w:r>
        <w:t>其中，</w:t>
      </w:r>
      <w:r>
        <w:t>CK</w:t>
      </w:r>
      <w:r>
        <w:t>广泛存在于骨骼肌与心肌中，是反映肌肉损伤的敏感指标；</w:t>
      </w:r>
      <w:r>
        <w:t>CK-MB</w:t>
      </w:r>
      <w:r>
        <w:t>主要分布于心肌组织，是诊断心肌损伤，尤其是急性心肌梗死的重要标志物；</w:t>
      </w:r>
      <w:r>
        <w:t>LDH</w:t>
      </w:r>
      <w:r>
        <w:t>存在于多种组织细胞中，虽缺乏特异性，但其升高可提示心肌、肝脏或其他组织的损伤。通过这些指标的综合分析，能够帮助医生判断心肌损伤的程度、病程以及是否存在全身性组织损害。</w:t>
      </w:r>
    </w:p>
    <w:p w14:paraId="059D5EE7" w14:textId="412B143D" w:rsidR="000A3D0E" w:rsidRDefault="000A3D0E" w:rsidP="000A3D0E">
      <w:pPr>
        <w:pStyle w:val="00"/>
      </w:pPr>
      <w:r w:rsidRPr="000A3D0E">
        <w:t>In preventive healthcare, myocardial enzyme testing is valuable not only for the rapid diagnosis of acute conditions such as chest pain, palpitations, and dyspnea, but also for routine screening in high-risk populations, including individuals with chronic stress, diabetes, hypertension, or a family history of cardiovascular disease. Regular monitoring enables early detection of subclinical cardiac injury, guiding lifestyle modification and cardiovascular disease prevention.</w:t>
      </w:r>
    </w:p>
    <w:p w14:paraId="374C90CB" w14:textId="33853B94" w:rsidR="000A3D0E" w:rsidRDefault="000A3D0E" w:rsidP="000A3D0E">
      <w:pPr>
        <w:pStyle w:val="0"/>
      </w:pPr>
      <w:r>
        <w:t>在健康管理领域，心肌酶谱检测不仅适用于急性胸痛、心悸、呼吸困难等急症的快速诊断，也可用于高风险人群的常规筛查，例如长期高压工作者、糖尿病患者、高血压患者或有心血管家族史的人群。通过定期检测，可以早期发现潜在的心脏损伤，指导生活方式干预和心血管疾病的预防。</w:t>
      </w:r>
    </w:p>
    <w:p w14:paraId="441114FF" w14:textId="0F6225F9" w:rsidR="000A3D0E" w:rsidRDefault="00272239" w:rsidP="000A3D0E">
      <w:pPr>
        <w:pStyle w:val="0"/>
      </w:pPr>
      <w:r w:rsidRPr="009E1205">
        <w:rPr>
          <w:noProof/>
        </w:rPr>
        <w:drawing>
          <wp:anchor distT="0" distB="0" distL="114300" distR="114300" simplePos="0" relativeHeight="251682816" behindDoc="0" locked="0" layoutInCell="1" allowOverlap="1" wp14:anchorId="68D6EA50" wp14:editId="7E291474">
            <wp:simplePos x="0" y="0"/>
            <wp:positionH relativeFrom="column">
              <wp:posOffset>1857</wp:posOffset>
            </wp:positionH>
            <wp:positionV relativeFrom="paragraph">
              <wp:posOffset>347112</wp:posOffset>
            </wp:positionV>
            <wp:extent cx="6080125" cy="1706245"/>
            <wp:effectExtent l="0" t="0" r="3175" b="0"/>
            <wp:wrapNone/>
            <wp:docPr id="4511398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139824" name="图片 1"/>
                    <pic:cNvPicPr/>
                  </pic:nvPicPr>
                  <pic:blipFill>
                    <a:blip r:embed="rId23">
                      <a:extLst>
                        <a:ext uri="{28A0092B-C50C-407E-A947-70E740481C1C}">
                          <a14:useLocalDpi xmlns:a14="http://schemas.microsoft.com/office/drawing/2010/main" val="0"/>
                        </a:ext>
                      </a:extLst>
                    </a:blip>
                    <a:srcRect t="33113" b="33113"/>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FC91EB7" w14:textId="1558EBFE" w:rsidR="00272239" w:rsidRPr="000A3D0E" w:rsidRDefault="00272239" w:rsidP="000A3D0E">
      <w:pPr>
        <w:pStyle w:val="0"/>
      </w:pPr>
    </w:p>
    <w:p w14:paraId="169A9B81" w14:textId="77777777" w:rsidR="009967D1" w:rsidRDefault="009967D1">
      <w:pPr>
        <w:widowControl/>
        <w:spacing w:line="400" w:lineRule="exact"/>
        <w:ind w:firstLineChars="200" w:firstLine="480"/>
        <w:rPr>
          <w:rFonts w:cs="DengXian"/>
          <w:color w:val="323E4F" w:themeColor="text2" w:themeShade="BF"/>
          <w:sz w:val="24"/>
        </w:rPr>
      </w:pPr>
    </w:p>
    <w:p w14:paraId="444C60A1" w14:textId="77777777" w:rsidR="009967D1" w:rsidRDefault="0080134E">
      <w:pPr>
        <w:widowControl/>
        <w:jc w:val="left"/>
      </w:pPr>
      <w:r>
        <w:br w:type="page"/>
      </w:r>
    </w:p>
    <w:p w14:paraId="4123E63E"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249B947" w14:textId="77777777">
        <w:trPr>
          <w:trHeight w:val="839"/>
          <w:jc w:val="center"/>
        </w:trPr>
        <w:tc>
          <w:tcPr>
            <w:tcW w:w="1150" w:type="dxa"/>
            <w:tcBorders>
              <w:top w:val="single" w:sz="4" w:space="0" w:color="auto"/>
              <w:bottom w:val="single" w:sz="4" w:space="0" w:color="auto"/>
            </w:tcBorders>
            <w:vAlign w:val="center"/>
          </w:tcPr>
          <w:p w14:paraId="1944A5A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7992C17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0E13EF7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2DD71D0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308132C4"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67855CE5"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1E6EB26D" w14:textId="77777777">
        <w:trPr>
          <w:trHeight w:val="1111"/>
          <w:jc w:val="center"/>
        </w:trPr>
        <w:tc>
          <w:tcPr>
            <w:tcW w:w="9653" w:type="dxa"/>
            <w:gridSpan w:val="11"/>
            <w:tcBorders>
              <w:top w:val="single" w:sz="4" w:space="0" w:color="auto"/>
              <w:bottom w:val="single" w:sz="4" w:space="0" w:color="auto"/>
            </w:tcBorders>
            <w:vAlign w:val="center"/>
          </w:tcPr>
          <w:p w14:paraId="61558479" w14:textId="0314CC24"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Myocardial </w:t>
            </w:r>
            <w:r w:rsidR="000A3D0E">
              <w:rPr>
                <w:rFonts w:hint="eastAsia"/>
                <w:b/>
                <w:bCs/>
                <w:color w:val="323E4F" w:themeColor="text2" w:themeShade="BF"/>
                <w:sz w:val="32"/>
                <w:szCs w:val="32"/>
              </w:rPr>
              <w:t>E</w:t>
            </w:r>
            <w:r>
              <w:rPr>
                <w:rFonts w:hint="eastAsia"/>
                <w:b/>
                <w:bCs/>
                <w:color w:val="323E4F" w:themeColor="text2" w:themeShade="BF"/>
                <w:sz w:val="32"/>
                <w:szCs w:val="32"/>
              </w:rPr>
              <w:t xml:space="preserve">nzyme </w:t>
            </w:r>
            <w:r w:rsidR="000A3D0E">
              <w:rPr>
                <w:rFonts w:hint="eastAsia"/>
                <w:b/>
                <w:bCs/>
                <w:color w:val="323E4F" w:themeColor="text2" w:themeShade="BF"/>
                <w:sz w:val="32"/>
                <w:szCs w:val="32"/>
              </w:rPr>
              <w:t>S</w:t>
            </w:r>
            <w:r>
              <w:rPr>
                <w:rFonts w:hint="eastAsia"/>
                <w:b/>
                <w:bCs/>
                <w:color w:val="323E4F" w:themeColor="text2" w:themeShade="BF"/>
                <w:sz w:val="32"/>
                <w:szCs w:val="32"/>
              </w:rPr>
              <w:t>pectrum</w:t>
            </w:r>
          </w:p>
          <w:p w14:paraId="28C81231"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心肌酶谱</w:t>
            </w:r>
          </w:p>
        </w:tc>
      </w:tr>
      <w:tr w:rsidR="009967D1" w14:paraId="0A67F831" w14:textId="77777777">
        <w:trPr>
          <w:trHeight w:hRule="exact" w:val="113"/>
          <w:jc w:val="center"/>
        </w:trPr>
        <w:tc>
          <w:tcPr>
            <w:tcW w:w="1560" w:type="dxa"/>
            <w:gridSpan w:val="2"/>
            <w:tcBorders>
              <w:top w:val="single" w:sz="4" w:space="0" w:color="auto"/>
            </w:tcBorders>
            <w:vAlign w:val="center"/>
          </w:tcPr>
          <w:p w14:paraId="17BFC429"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2D5141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3707CD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D730133"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001F65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6544857" w14:textId="77777777" w:rsidR="009967D1" w:rsidRDefault="009967D1">
            <w:pPr>
              <w:spacing w:line="300" w:lineRule="exact"/>
              <w:jc w:val="right"/>
              <w:rPr>
                <w:color w:val="323E4F" w:themeColor="text2" w:themeShade="BF"/>
                <w:sz w:val="2"/>
                <w:szCs w:val="2"/>
              </w:rPr>
            </w:pPr>
          </w:p>
        </w:tc>
      </w:tr>
      <w:tr w:rsidR="009967D1" w14:paraId="7044B284" w14:textId="77777777">
        <w:trPr>
          <w:trHeight w:val="432"/>
          <w:jc w:val="center"/>
        </w:trPr>
        <w:tc>
          <w:tcPr>
            <w:tcW w:w="1150" w:type="dxa"/>
            <w:vAlign w:val="center"/>
          </w:tcPr>
          <w:p w14:paraId="51A92752" w14:textId="77777777" w:rsidR="009967D1" w:rsidRDefault="0080134E">
            <w:pPr>
              <w:spacing w:line="400" w:lineRule="exact"/>
              <w:jc w:val="center"/>
              <w:rPr>
                <w:b/>
                <w:bCs/>
                <w:color w:val="000000" w:themeColor="text1"/>
                <w:sz w:val="24"/>
              </w:rPr>
            </w:pPr>
            <w:r>
              <w:rPr>
                <w:rFonts w:hint="eastAsia"/>
                <w:b/>
                <w:bCs/>
                <w:color w:val="000000" w:themeColor="text1"/>
                <w:sz w:val="24"/>
              </w:rPr>
              <w:t>CK</w:t>
            </w:r>
          </w:p>
        </w:tc>
        <w:tc>
          <w:tcPr>
            <w:tcW w:w="2536" w:type="dxa"/>
            <w:gridSpan w:val="2"/>
            <w:vAlign w:val="center"/>
          </w:tcPr>
          <w:p w14:paraId="6156657B" w14:textId="77777777" w:rsidR="009967D1" w:rsidRDefault="0080134E">
            <w:pPr>
              <w:spacing w:line="400" w:lineRule="exact"/>
              <w:jc w:val="center"/>
              <w:rPr>
                <w:b/>
                <w:bCs/>
                <w:color w:val="000000" w:themeColor="text1"/>
                <w:sz w:val="24"/>
              </w:rPr>
            </w:pPr>
            <w:r>
              <w:rPr>
                <w:rFonts w:hint="eastAsia"/>
                <w:b/>
                <w:bCs/>
                <w:color w:val="000000" w:themeColor="text1"/>
                <w:sz w:val="24"/>
              </w:rPr>
              <w:t>肌酸激酶</w:t>
            </w:r>
          </w:p>
        </w:tc>
        <w:tc>
          <w:tcPr>
            <w:tcW w:w="1754" w:type="dxa"/>
            <w:gridSpan w:val="2"/>
            <w:vAlign w:val="center"/>
          </w:tcPr>
          <w:p>
            <w:r>
              <w:t>{{CK_result}}</w:t>
            </w:r>
          </w:p>
        </w:tc>
        <w:tc>
          <w:tcPr>
            <w:tcW w:w="825" w:type="dxa"/>
            <w:gridSpan w:val="2"/>
            <w:vAlign w:val="center"/>
          </w:tcPr>
          <w:p>
            <w:r>
              <w:t>{{CK_point}}</w:t>
            </w:r>
          </w:p>
        </w:tc>
        <w:tc>
          <w:tcPr>
            <w:tcW w:w="1980" w:type="dxa"/>
            <w:gridSpan w:val="2"/>
            <w:vAlign w:val="center"/>
          </w:tcPr>
          <w:p>
            <w:r>
              <w:t>{{CK_refer}}</w:t>
            </w:r>
          </w:p>
        </w:tc>
        <w:tc>
          <w:tcPr>
            <w:tcW w:w="1408" w:type="dxa"/>
            <w:gridSpan w:val="2"/>
            <w:vAlign w:val="center"/>
          </w:tcPr>
          <w:p>
            <w:r>
              <w:t>{{CK_unit}}</w:t>
            </w:r>
          </w:p>
        </w:tc>
      </w:tr>
      <w:tr w:rsidR="009967D1" w14:paraId="510EA862" w14:textId="77777777">
        <w:trPr>
          <w:trHeight w:val="1651"/>
          <w:jc w:val="center"/>
        </w:trPr>
        <w:tc>
          <w:tcPr>
            <w:tcW w:w="9653" w:type="dxa"/>
            <w:gridSpan w:val="11"/>
            <w:vAlign w:val="center"/>
          </w:tcPr>
          <w:p w14:paraId="16817528" w14:textId="77777777" w:rsidR="009967D1" w:rsidRDefault="009967D1"/>
          <w:p w14:paraId="7F78351A" w14:textId="77777777" w:rsidR="009967D1" w:rsidRDefault="0080134E">
            <w:r>
              <w:rPr>
                <w:b/>
                <w:bCs/>
              </w:rPr>
              <w:t>Clinical Significance:</w:t>
            </w:r>
            <w:r>
              <w:t xml:space="preserve"> A specific indicator of myocardial and skeletal muscle damage, early diagnosis of myocardial infarction (increases 4 - 6h, peaks 1 - 2 days), </w:t>
            </w:r>
            <w:proofErr w:type="gramStart"/>
            <w:r>
              <w:t>and also</w:t>
            </w:r>
            <w:proofErr w:type="gramEnd"/>
            <w:r>
              <w:t xml:space="preserve"> used to diagnose myopathy (such as myositis, progressive muscular dystrophy). Normal reference value: 50 - 310U/L for males, 40 - 200U/L for females.</w:t>
            </w:r>
          </w:p>
          <w:p w14:paraId="419A21C7" w14:textId="77777777" w:rsidR="009967D1" w:rsidRDefault="0080134E">
            <w:r>
              <w:rPr>
                <w:b/>
                <w:bCs/>
              </w:rPr>
              <w:t>临床意义：</w:t>
            </w:r>
            <w:r>
              <w:t>心肌、骨骼肌损伤特异性指标，心肌梗死早期诊断（4-6h升高，1-2天达峰），也用于诊断肌病（如肌炎、进行性肌营养不良）。正常参考值：男性50-310U/L，女性40-200U/L。</w:t>
            </w:r>
          </w:p>
        </w:tc>
      </w:tr>
    </w:tbl>
    <w:p w14:paraId="3A5E9051" w14:textId="77777777" w:rsidR="009967D1" w:rsidRDefault="009967D1" w:rsidP="004619DA">
      <w:pPr>
        <w:pStyle w:val="0"/>
      </w:pPr>
    </w:p>
    <w:p w14:paraId="58D34FA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E59876A" w14:textId="77777777">
        <w:trPr>
          <w:trHeight w:hRule="exact" w:val="113"/>
          <w:jc w:val="center"/>
        </w:trPr>
        <w:tc>
          <w:tcPr>
            <w:tcW w:w="1560" w:type="dxa"/>
            <w:gridSpan w:val="2"/>
            <w:tcBorders>
              <w:top w:val="single" w:sz="4" w:space="0" w:color="auto"/>
            </w:tcBorders>
            <w:vAlign w:val="center"/>
          </w:tcPr>
          <w:p w14:paraId="3DA3F73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650A7C4"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F40E46A"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787AB06"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AB8CA0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E2BB8B3" w14:textId="77777777" w:rsidR="009967D1" w:rsidRDefault="009967D1">
            <w:pPr>
              <w:spacing w:line="300" w:lineRule="exact"/>
              <w:jc w:val="right"/>
              <w:rPr>
                <w:color w:val="323E4F" w:themeColor="text2" w:themeShade="BF"/>
                <w:sz w:val="2"/>
                <w:szCs w:val="2"/>
              </w:rPr>
            </w:pPr>
          </w:p>
        </w:tc>
      </w:tr>
      <w:tr w:rsidR="009967D1" w14:paraId="3C5D8D01" w14:textId="77777777">
        <w:trPr>
          <w:trHeight w:val="432"/>
          <w:jc w:val="center"/>
        </w:trPr>
        <w:tc>
          <w:tcPr>
            <w:tcW w:w="1150" w:type="dxa"/>
            <w:vAlign w:val="center"/>
          </w:tcPr>
          <w:p w14:paraId="3BACC5EC" w14:textId="77777777" w:rsidR="009967D1" w:rsidRDefault="0080134E">
            <w:pPr>
              <w:spacing w:line="400" w:lineRule="exact"/>
              <w:jc w:val="center"/>
              <w:rPr>
                <w:b/>
                <w:bCs/>
                <w:color w:val="000000" w:themeColor="text1"/>
                <w:sz w:val="24"/>
              </w:rPr>
            </w:pPr>
            <w:r>
              <w:rPr>
                <w:rFonts w:hint="eastAsia"/>
                <w:b/>
                <w:bCs/>
                <w:color w:val="000000" w:themeColor="text1"/>
                <w:sz w:val="24"/>
              </w:rPr>
              <w:t>LDH</w:t>
            </w:r>
          </w:p>
        </w:tc>
        <w:tc>
          <w:tcPr>
            <w:tcW w:w="2536" w:type="dxa"/>
            <w:gridSpan w:val="2"/>
            <w:vAlign w:val="center"/>
          </w:tcPr>
          <w:p w14:paraId="6E31D575" w14:textId="77777777" w:rsidR="009967D1" w:rsidRDefault="0080134E">
            <w:pPr>
              <w:spacing w:line="400" w:lineRule="exact"/>
              <w:jc w:val="center"/>
              <w:rPr>
                <w:b/>
                <w:bCs/>
                <w:color w:val="000000" w:themeColor="text1"/>
                <w:sz w:val="24"/>
              </w:rPr>
            </w:pPr>
            <w:r>
              <w:rPr>
                <w:rFonts w:hint="eastAsia"/>
                <w:b/>
                <w:bCs/>
                <w:color w:val="000000" w:themeColor="text1"/>
                <w:sz w:val="24"/>
              </w:rPr>
              <w:t>乳酸脱氢酶</w:t>
            </w:r>
          </w:p>
        </w:tc>
        <w:tc>
          <w:tcPr>
            <w:tcW w:w="1754" w:type="dxa"/>
            <w:gridSpan w:val="2"/>
            <w:vAlign w:val="center"/>
          </w:tcPr>
          <w:p>
            <w:r>
              <w:t>{{LDH_result}}</w:t>
            </w:r>
          </w:p>
        </w:tc>
        <w:tc>
          <w:tcPr>
            <w:tcW w:w="825" w:type="dxa"/>
            <w:gridSpan w:val="2"/>
            <w:vAlign w:val="center"/>
          </w:tcPr>
          <w:p>
            <w:r>
              <w:t>{{LDH_point}}</w:t>
            </w:r>
          </w:p>
        </w:tc>
        <w:tc>
          <w:tcPr>
            <w:tcW w:w="1980" w:type="dxa"/>
            <w:gridSpan w:val="2"/>
            <w:vAlign w:val="center"/>
          </w:tcPr>
          <w:p>
            <w:r>
              <w:t>{{LDH_refer}}</w:t>
            </w:r>
          </w:p>
        </w:tc>
        <w:tc>
          <w:tcPr>
            <w:tcW w:w="1408" w:type="dxa"/>
            <w:gridSpan w:val="2"/>
            <w:vAlign w:val="center"/>
          </w:tcPr>
          <w:p>
            <w:r>
              <w:t>{{LDH_unit}}</w:t>
            </w:r>
          </w:p>
        </w:tc>
      </w:tr>
      <w:tr w:rsidR="009967D1" w14:paraId="6AC2EE39" w14:textId="77777777">
        <w:trPr>
          <w:trHeight w:val="1651"/>
          <w:jc w:val="center"/>
        </w:trPr>
        <w:tc>
          <w:tcPr>
            <w:tcW w:w="9653" w:type="dxa"/>
            <w:gridSpan w:val="11"/>
            <w:vAlign w:val="center"/>
          </w:tcPr>
          <w:p w14:paraId="6BF7292A" w14:textId="77777777" w:rsidR="009967D1" w:rsidRDefault="009967D1"/>
          <w:p w14:paraId="03F32D3E" w14:textId="77777777" w:rsidR="009967D1" w:rsidRDefault="0080134E">
            <w:r>
              <w:rPr>
                <w:b/>
                <w:bCs/>
              </w:rPr>
              <w:t>Clinical Significance:</w:t>
            </w:r>
            <w:r>
              <w:t xml:space="preserve"> An indicator of myocardial, liver, skeletal muscle, and hematological system diseases. It can increase in myocardial infarction (increases 12 - 24h, recovers 1 - 2 weeks), liver diseases, and hemolytic anemia. Normal reference value: 120 - 250U/L.</w:t>
            </w:r>
          </w:p>
          <w:p w14:paraId="231B561A" w14:textId="77777777" w:rsidR="009967D1" w:rsidRDefault="0080134E">
            <w:r>
              <w:rPr>
                <w:b/>
                <w:bCs/>
              </w:rPr>
              <w:t>临床意义：</w:t>
            </w:r>
            <w:r>
              <w:t>心肌、肝脏、骨骼肌、血液系统疾病指标，心肌梗死（12-24h升高，1-2周恢复）、肝病、溶血性贫血均可升高。正常参考值：120-250U/L。</w:t>
            </w:r>
          </w:p>
        </w:tc>
      </w:tr>
    </w:tbl>
    <w:p w14:paraId="5339E52F" w14:textId="77777777" w:rsidR="009967D1" w:rsidRDefault="009967D1" w:rsidP="004619DA">
      <w:pPr>
        <w:pStyle w:val="0"/>
      </w:pPr>
    </w:p>
    <w:p w14:paraId="6F1A2C2A"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06D10AB" w14:textId="77777777">
        <w:trPr>
          <w:trHeight w:hRule="exact" w:val="113"/>
          <w:jc w:val="center"/>
        </w:trPr>
        <w:tc>
          <w:tcPr>
            <w:tcW w:w="1560" w:type="dxa"/>
            <w:gridSpan w:val="2"/>
            <w:tcBorders>
              <w:top w:val="single" w:sz="4" w:space="0" w:color="auto"/>
            </w:tcBorders>
            <w:vAlign w:val="center"/>
          </w:tcPr>
          <w:p w14:paraId="5A1D3D4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EC45D34"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E38654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4919F3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196060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3731157" w14:textId="77777777" w:rsidR="009967D1" w:rsidRDefault="009967D1">
            <w:pPr>
              <w:spacing w:line="300" w:lineRule="exact"/>
              <w:jc w:val="right"/>
              <w:rPr>
                <w:color w:val="323E4F" w:themeColor="text2" w:themeShade="BF"/>
                <w:sz w:val="2"/>
                <w:szCs w:val="2"/>
              </w:rPr>
            </w:pPr>
          </w:p>
        </w:tc>
      </w:tr>
      <w:tr w:rsidR="009967D1" w14:paraId="6BA8E9C6" w14:textId="77777777">
        <w:trPr>
          <w:trHeight w:val="432"/>
          <w:jc w:val="center"/>
        </w:trPr>
        <w:tc>
          <w:tcPr>
            <w:tcW w:w="1150" w:type="dxa"/>
            <w:vAlign w:val="center"/>
          </w:tcPr>
          <w:p w14:paraId="032556B4" w14:textId="77777777" w:rsidR="009967D1" w:rsidRDefault="0080134E">
            <w:pPr>
              <w:spacing w:line="400" w:lineRule="exact"/>
              <w:jc w:val="center"/>
              <w:rPr>
                <w:b/>
                <w:bCs/>
                <w:color w:val="000000" w:themeColor="text1"/>
                <w:sz w:val="24"/>
              </w:rPr>
            </w:pPr>
            <w:r>
              <w:rPr>
                <w:rFonts w:hint="eastAsia"/>
                <w:b/>
                <w:bCs/>
                <w:color w:val="000000" w:themeColor="text1"/>
                <w:sz w:val="24"/>
              </w:rPr>
              <w:t>CK - MB</w:t>
            </w:r>
          </w:p>
        </w:tc>
        <w:tc>
          <w:tcPr>
            <w:tcW w:w="2536" w:type="dxa"/>
            <w:gridSpan w:val="2"/>
            <w:vAlign w:val="center"/>
          </w:tcPr>
          <w:p w14:paraId="4A7BDE0E" w14:textId="77777777" w:rsidR="009967D1" w:rsidRDefault="0080134E">
            <w:pPr>
              <w:spacing w:line="400" w:lineRule="exact"/>
              <w:jc w:val="center"/>
              <w:rPr>
                <w:b/>
                <w:bCs/>
                <w:color w:val="000000" w:themeColor="text1"/>
                <w:sz w:val="24"/>
              </w:rPr>
            </w:pPr>
            <w:r>
              <w:rPr>
                <w:rFonts w:hint="eastAsia"/>
                <w:b/>
                <w:bCs/>
                <w:color w:val="000000" w:themeColor="text1"/>
                <w:sz w:val="24"/>
              </w:rPr>
              <w:t>肌酸激酶同工酶</w:t>
            </w:r>
          </w:p>
        </w:tc>
        <w:tc>
          <w:tcPr>
            <w:tcW w:w="1754" w:type="dxa"/>
            <w:gridSpan w:val="2"/>
            <w:vAlign w:val="center"/>
          </w:tcPr>
          <w:p>
            <w:r>
              <w:t>{{CK_MB_result}}</w:t>
            </w:r>
          </w:p>
        </w:tc>
        <w:tc>
          <w:tcPr>
            <w:tcW w:w="825" w:type="dxa"/>
            <w:gridSpan w:val="2"/>
            <w:vAlign w:val="center"/>
          </w:tcPr>
          <w:p>
            <w:r>
              <w:t>{{CK_MB_point}}</w:t>
            </w:r>
          </w:p>
        </w:tc>
        <w:tc>
          <w:tcPr>
            <w:tcW w:w="1980" w:type="dxa"/>
            <w:gridSpan w:val="2"/>
            <w:vAlign w:val="center"/>
          </w:tcPr>
          <w:p>
            <w:r>
              <w:t>{{CK_MB_refer}}</w:t>
            </w:r>
          </w:p>
        </w:tc>
        <w:tc>
          <w:tcPr>
            <w:tcW w:w="1408" w:type="dxa"/>
            <w:gridSpan w:val="2"/>
            <w:vAlign w:val="center"/>
          </w:tcPr>
          <w:p>
            <w:r>
              <w:t>{{CK_MB_unit}}</w:t>
            </w:r>
          </w:p>
        </w:tc>
      </w:tr>
      <w:tr w:rsidR="009967D1" w14:paraId="4A5F0710" w14:textId="77777777">
        <w:trPr>
          <w:trHeight w:val="1651"/>
          <w:jc w:val="center"/>
        </w:trPr>
        <w:tc>
          <w:tcPr>
            <w:tcW w:w="9653" w:type="dxa"/>
            <w:gridSpan w:val="11"/>
            <w:vAlign w:val="center"/>
          </w:tcPr>
          <w:p w14:paraId="4A1D43CB" w14:textId="77777777" w:rsidR="009967D1" w:rsidRDefault="009967D1"/>
          <w:p w14:paraId="5FBEAE1E" w14:textId="77777777" w:rsidR="009967D1" w:rsidRDefault="0080134E">
            <w:r>
              <w:rPr>
                <w:b/>
                <w:bCs/>
              </w:rPr>
              <w:t>Clinical Significance:</w:t>
            </w:r>
            <w:r>
              <w:t xml:space="preserve"> A specific indicator of myocardial damage, early diagnosis of myocardial infarction (increases 3 - 4h, peaks 1 - 2 days), better than total CK. Normal reference value: 0 - 25U/L (activity method); &lt; 4ng/ml (mass method, more accurate).</w:t>
            </w:r>
          </w:p>
          <w:p w14:paraId="312A99E7" w14:textId="77777777" w:rsidR="009967D1" w:rsidRDefault="0080134E">
            <w:r>
              <w:rPr>
                <w:b/>
                <w:bCs/>
              </w:rPr>
              <w:t>临床意义：</w:t>
            </w:r>
            <w:r>
              <w:t>心肌损伤特异性指标，心肌梗死早期诊断（3-4h升高，1-2天达峰），优于总CK。正常参考值：0-25U/L（活性法）；＜4ng/ml（质量法，更精准）。</w:t>
            </w:r>
          </w:p>
        </w:tc>
      </w:tr>
    </w:tbl>
    <w:p w14:paraId="3A9EC9FA" w14:textId="77777777" w:rsidR="009967D1" w:rsidRDefault="009967D1" w:rsidP="004619DA">
      <w:pPr>
        <w:pStyle w:val="0"/>
      </w:pPr>
    </w:p>
    <w:p w14:paraId="78B75B80"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2D3E3BFB" w14:textId="041EFA3E" w:rsidR="009967D1" w:rsidRDefault="00C86393" w:rsidP="00A642C1">
      <w:pPr>
        <w:pStyle w:val="3-"/>
      </w:pPr>
      <w:r w:rsidRPr="00C86393">
        <w:lastRenderedPageBreak/>
        <w:t xml:space="preserve">Thyroid </w:t>
      </w:r>
      <w:r w:rsidR="00A81407">
        <w:t>F</w:t>
      </w:r>
      <w:r w:rsidRPr="00C86393">
        <w:t>unction</w:t>
      </w:r>
      <w:r>
        <w:br/>
      </w:r>
      <w:r w:rsidR="0080134E">
        <w:rPr>
          <w:rFonts w:hint="eastAsia"/>
        </w:rPr>
        <w:t>甲状腺功能</w:t>
      </w:r>
    </w:p>
    <w:p w14:paraId="45B46DB1" w14:textId="77777777" w:rsidR="00C86393" w:rsidRPr="00C86393" w:rsidRDefault="00C86393" w:rsidP="00C86393">
      <w:pPr>
        <w:pStyle w:val="0"/>
      </w:pPr>
    </w:p>
    <w:p w14:paraId="12BA0C24" w14:textId="5AF05EC1" w:rsidR="00C86393" w:rsidRDefault="00C86393" w:rsidP="00C86393">
      <w:pPr>
        <w:pStyle w:val="00"/>
      </w:pPr>
      <w:r w:rsidRPr="00C86393">
        <w:t>Thyroid function tests (TFTs) are critical laboratory evaluations for assessing endocrine and metabolic balance. By measuring triiodothyronine (T3), thyroxine (T4), free triiodothyronine (FT3), free thyroxine (FT4), and thyroid-stimulating hormone (TSH), these tests provide a comprehensive overview of thyroid hormone synthesis, secretion, and regulation. Thyroid hormones play vital roles in energy metabolism, thermoregulation, neurodevelopment, and cardiovascular function, and abnormalities can lead to widespread systemic effects.</w:t>
      </w:r>
    </w:p>
    <w:p w14:paraId="76F46308" w14:textId="182CF4F0" w:rsidR="00C86393" w:rsidRDefault="00C86393" w:rsidP="00C86393">
      <w:pPr>
        <w:pStyle w:val="0"/>
      </w:pPr>
      <w:r w:rsidRPr="00C86393">
        <w:t>甲状腺功能检测是评估机体内分泌与代谢平衡的重要实验室检查，通过测定三碘甲状腺原氨酸（</w:t>
      </w:r>
      <w:r w:rsidRPr="00C86393">
        <w:t>T3</w:t>
      </w:r>
      <w:r w:rsidRPr="00C86393">
        <w:t>）、甲状腺素（</w:t>
      </w:r>
      <w:r w:rsidRPr="00C86393">
        <w:t>T4</w:t>
      </w:r>
      <w:r w:rsidRPr="00C86393">
        <w:t>）、游离三碘甲状腺原氨酸（</w:t>
      </w:r>
      <w:r w:rsidRPr="00C86393">
        <w:t>FT3</w:t>
      </w:r>
      <w:r w:rsidRPr="00C86393">
        <w:t>）、游离甲状腺素（</w:t>
      </w:r>
      <w:r w:rsidRPr="00C86393">
        <w:t>FT4</w:t>
      </w:r>
      <w:r w:rsidRPr="00C86393">
        <w:t>）、促甲状腺激素（</w:t>
      </w:r>
      <w:r w:rsidRPr="00C86393">
        <w:t>TSH</w:t>
      </w:r>
      <w:r w:rsidRPr="00C86393">
        <w:t>）等指标，全面反映甲状腺的合成、分泌及调控状态。甲状腺激素是维持能量代谢、体温调节、神经发育及心血管功能的关键物质，其异常可导致广泛的全身性症状。</w:t>
      </w:r>
    </w:p>
    <w:p w14:paraId="2D46EB50" w14:textId="435A2453" w:rsidR="00C86393" w:rsidRPr="00C86393" w:rsidRDefault="00C86393" w:rsidP="00C86393">
      <w:pPr>
        <w:pStyle w:val="00"/>
        <w:rPr>
          <w:color w:val="000000"/>
          <w:sz w:val="24"/>
          <w:szCs w:val="22"/>
          <w14:textFill>
            <w14:solidFill>
              <w14:srgbClr w14:val="000000">
                <w14:lumMod w14:val="50000"/>
              </w14:srgbClr>
            </w14:solidFill>
          </w14:textFill>
        </w:rPr>
      </w:pPr>
      <w:r w:rsidRPr="00C86393">
        <w:t>Clinically, thyroid function tests are indispensable for diagnosing hyperthyroidism and hypothyroidism. Hyperthyroidism may manifest as palpitations, sweating, weight loss, and anxiety, whereas hypothyroidism often presents with fatigue, cold intolerance, edema, and slowed metabolism. Measurement of TSH alongside thyroid hormones helps confirm diagnosis and guide management. These tests are also essential for monitoring thyroid disease progression, as well as the follow-up of patients with thyroid nodules or thyroid cancer.</w:t>
      </w:r>
    </w:p>
    <w:p w14:paraId="3BDDF93F" w14:textId="14BE23EC" w:rsidR="00C86393" w:rsidRDefault="00C86393" w:rsidP="00C86393">
      <w:pPr>
        <w:pStyle w:val="0"/>
      </w:pPr>
      <w:r w:rsidRPr="00C86393">
        <w:t>临床上，甲状腺功能检测对于诊断甲状腺功能亢进（甲亢）与甲状腺功能减退（甲减）尤为重要。甲亢可表现为心悸、多汗、体重下降与焦虑，而甲减则常导致乏力、畏寒、浮肿及代谢减慢。通过检测</w:t>
      </w:r>
      <w:r w:rsidRPr="00C86393">
        <w:t>TSH</w:t>
      </w:r>
      <w:r w:rsidRPr="00C86393">
        <w:t>及甲状腺激素水平，可明确病情并指导治疗。同时，该检测在甲状腺疾病随访、甲状腺结节或甲状腺癌患者的监测中也有重要意义。</w:t>
      </w:r>
    </w:p>
    <w:p w14:paraId="654E247C" w14:textId="4094C656" w:rsidR="00C86393" w:rsidRPr="00C86393" w:rsidRDefault="00C86393" w:rsidP="00C86393">
      <w:pPr>
        <w:pStyle w:val="00"/>
        <w:rPr>
          <w:color w:val="000000"/>
          <w:sz w:val="24"/>
          <w:szCs w:val="22"/>
          <w14:textFill>
            <w14:solidFill>
              <w14:srgbClr w14:val="000000">
                <w14:lumMod w14:val="50000"/>
              </w14:srgbClr>
            </w14:solidFill>
          </w14:textFill>
        </w:rPr>
      </w:pPr>
      <w:r w:rsidRPr="00C86393">
        <w:t>In preventive health care, TFTs are valuable for detecting subclinical thyroid dysfunction and metabolic abnormalities, especially in individuals with chronic fatigue, unexplained weight changes, mood disturbances, or women planning pregnancy or during gestation. Research has shown that even mild thyroid dysfunction may impact cardiovascular health, bone metabolism, and female reproductive health, making routine monitoring essential for long-term well-being.</w:t>
      </w:r>
    </w:p>
    <w:p w14:paraId="478FD709" w14:textId="332C6FB1" w:rsidR="009967D1" w:rsidRDefault="00C86393" w:rsidP="00C86393">
      <w:pPr>
        <w:pStyle w:val="0"/>
      </w:pPr>
      <w:r w:rsidRPr="00C86393">
        <w:t>在健康管理领域，甲状腺功能检测可用于发现潜在的代谢异常和亚临床甲状腺疾病，尤其适合长期疲劳、体重异常、情绪波动、女性备孕或妊娠期人群。研究表明，甲状腺功能的轻度异常也可能影响心血管健康、骨代谢以及女性生殖功能，因此定期监测对预防慢性疾病和保持整体健康至关重要。</w:t>
      </w:r>
    </w:p>
    <w:p w14:paraId="416678BE" w14:textId="5358D24B" w:rsidR="00272239" w:rsidRDefault="00272239" w:rsidP="00C86393">
      <w:pPr>
        <w:pStyle w:val="0"/>
      </w:pPr>
      <w:r w:rsidRPr="009E1205">
        <w:rPr>
          <w:noProof/>
        </w:rPr>
        <w:drawing>
          <wp:anchor distT="0" distB="0" distL="114300" distR="114300" simplePos="0" relativeHeight="251684864" behindDoc="0" locked="0" layoutInCell="1" allowOverlap="1" wp14:anchorId="21CC3F75" wp14:editId="3BCA0F15">
            <wp:simplePos x="0" y="0"/>
            <wp:positionH relativeFrom="column">
              <wp:posOffset>1270</wp:posOffset>
            </wp:positionH>
            <wp:positionV relativeFrom="paragraph">
              <wp:posOffset>342900</wp:posOffset>
            </wp:positionV>
            <wp:extent cx="6080125" cy="1706245"/>
            <wp:effectExtent l="0" t="0" r="3175" b="0"/>
            <wp:wrapNone/>
            <wp:docPr id="14606979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697937" name="图片 1"/>
                    <pic:cNvPicPr/>
                  </pic:nvPicPr>
                  <pic:blipFill rotWithShape="1">
                    <a:blip r:embed="rId24">
                      <a:extLst>
                        <a:ext uri="{28A0092B-C50C-407E-A947-70E740481C1C}">
                          <a14:useLocalDpi xmlns:a14="http://schemas.microsoft.com/office/drawing/2010/main" val="0"/>
                        </a:ext>
                      </a:extLst>
                    </a:blip>
                    <a:srcRect t="38399" b="30341"/>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12C82B1" w14:textId="3336AB5D" w:rsidR="00272239" w:rsidRDefault="00272239" w:rsidP="00C86393">
      <w:pPr>
        <w:pStyle w:val="0"/>
      </w:pPr>
    </w:p>
    <w:p w14:paraId="7304C13C" w14:textId="77777777" w:rsidR="009967D1" w:rsidRDefault="0080134E">
      <w:pPr>
        <w:widowControl/>
        <w:jc w:val="left"/>
      </w:pPr>
      <w:r>
        <w:br w:type="page"/>
      </w:r>
    </w:p>
    <w:p w14:paraId="187621AC"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668828F" w14:textId="77777777">
        <w:trPr>
          <w:trHeight w:val="839"/>
          <w:jc w:val="center"/>
        </w:trPr>
        <w:tc>
          <w:tcPr>
            <w:tcW w:w="1150" w:type="dxa"/>
            <w:tcBorders>
              <w:top w:val="single" w:sz="4" w:space="0" w:color="auto"/>
              <w:bottom w:val="single" w:sz="4" w:space="0" w:color="auto"/>
            </w:tcBorders>
            <w:vAlign w:val="center"/>
          </w:tcPr>
          <w:p w14:paraId="06F6752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37F99025"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7C1BA4A5"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4B88398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441436AE"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568278FE"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298F4F63" w14:textId="77777777">
        <w:trPr>
          <w:trHeight w:val="1111"/>
          <w:jc w:val="center"/>
        </w:trPr>
        <w:tc>
          <w:tcPr>
            <w:tcW w:w="9653" w:type="dxa"/>
            <w:gridSpan w:val="11"/>
            <w:tcBorders>
              <w:top w:val="single" w:sz="4" w:space="0" w:color="auto"/>
              <w:bottom w:val="single" w:sz="4" w:space="0" w:color="auto"/>
            </w:tcBorders>
            <w:vAlign w:val="center"/>
          </w:tcPr>
          <w:p w14:paraId="5265A36E" w14:textId="47932F9B"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Thyroid </w:t>
            </w:r>
            <w:r w:rsidR="000204CB">
              <w:rPr>
                <w:b/>
                <w:bCs/>
                <w:color w:val="323E4F" w:themeColor="text2" w:themeShade="BF"/>
                <w:sz w:val="32"/>
                <w:szCs w:val="32"/>
              </w:rPr>
              <w:t>F</w:t>
            </w:r>
            <w:r>
              <w:rPr>
                <w:rFonts w:hint="eastAsia"/>
                <w:b/>
                <w:bCs/>
                <w:color w:val="323E4F" w:themeColor="text2" w:themeShade="BF"/>
                <w:sz w:val="32"/>
                <w:szCs w:val="32"/>
              </w:rPr>
              <w:t>unction</w:t>
            </w:r>
          </w:p>
          <w:p w14:paraId="203B99FD"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甲状腺功能</w:t>
            </w:r>
          </w:p>
        </w:tc>
      </w:tr>
      <w:tr w:rsidR="009967D1" w14:paraId="7BBA95F8" w14:textId="77777777">
        <w:trPr>
          <w:trHeight w:hRule="exact" w:val="113"/>
          <w:jc w:val="center"/>
        </w:trPr>
        <w:tc>
          <w:tcPr>
            <w:tcW w:w="1560" w:type="dxa"/>
            <w:gridSpan w:val="2"/>
            <w:tcBorders>
              <w:top w:val="single" w:sz="4" w:space="0" w:color="auto"/>
            </w:tcBorders>
            <w:vAlign w:val="center"/>
          </w:tcPr>
          <w:p w14:paraId="79E53F96"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AC5474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D4CCE0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687DA65"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4D25352"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3D34995" w14:textId="77777777" w:rsidR="009967D1" w:rsidRDefault="009967D1">
            <w:pPr>
              <w:spacing w:line="300" w:lineRule="exact"/>
              <w:jc w:val="right"/>
              <w:rPr>
                <w:color w:val="323E4F" w:themeColor="text2" w:themeShade="BF"/>
                <w:sz w:val="2"/>
                <w:szCs w:val="2"/>
              </w:rPr>
            </w:pPr>
          </w:p>
        </w:tc>
      </w:tr>
      <w:tr w:rsidR="009967D1" w14:paraId="212F3D6B" w14:textId="77777777">
        <w:trPr>
          <w:trHeight w:val="432"/>
          <w:jc w:val="center"/>
        </w:trPr>
        <w:tc>
          <w:tcPr>
            <w:tcW w:w="1150" w:type="dxa"/>
            <w:vAlign w:val="center"/>
          </w:tcPr>
          <w:p w14:paraId="401837D1" w14:textId="77777777" w:rsidR="009967D1" w:rsidRDefault="0080134E">
            <w:pPr>
              <w:spacing w:line="400" w:lineRule="exact"/>
              <w:jc w:val="center"/>
              <w:rPr>
                <w:b/>
                <w:bCs/>
                <w:color w:val="000000" w:themeColor="text1"/>
                <w:sz w:val="24"/>
              </w:rPr>
            </w:pPr>
            <w:r>
              <w:rPr>
                <w:rFonts w:hint="eastAsia"/>
                <w:b/>
                <w:bCs/>
                <w:color w:val="000000" w:themeColor="text1"/>
                <w:sz w:val="24"/>
              </w:rPr>
              <w:t>T3</w:t>
            </w:r>
          </w:p>
        </w:tc>
        <w:tc>
          <w:tcPr>
            <w:tcW w:w="2536" w:type="dxa"/>
            <w:gridSpan w:val="2"/>
            <w:vAlign w:val="center"/>
          </w:tcPr>
          <w:p w14:paraId="7C2215FA" w14:textId="77777777" w:rsidR="009967D1" w:rsidRDefault="0080134E">
            <w:pPr>
              <w:spacing w:line="400" w:lineRule="exact"/>
              <w:jc w:val="center"/>
              <w:rPr>
                <w:b/>
                <w:bCs/>
                <w:color w:val="000000" w:themeColor="text1"/>
                <w:sz w:val="24"/>
              </w:rPr>
            </w:pPr>
            <w:r>
              <w:rPr>
                <w:rFonts w:hint="eastAsia"/>
                <w:b/>
                <w:bCs/>
                <w:color w:val="000000" w:themeColor="text1"/>
                <w:sz w:val="24"/>
              </w:rPr>
              <w:t>三碘甲状腺原氨酸</w:t>
            </w:r>
          </w:p>
        </w:tc>
        <w:tc>
          <w:tcPr>
            <w:tcW w:w="1754" w:type="dxa"/>
            <w:gridSpan w:val="2"/>
            <w:vAlign w:val="center"/>
          </w:tcPr>
          <w:p>
            <w:r>
              <w:t>{{T3_result}}</w:t>
            </w:r>
          </w:p>
        </w:tc>
        <w:tc>
          <w:tcPr>
            <w:tcW w:w="825" w:type="dxa"/>
            <w:gridSpan w:val="2"/>
            <w:vAlign w:val="center"/>
          </w:tcPr>
          <w:p>
            <w:r>
              <w:t>{{T3_point}}</w:t>
            </w:r>
          </w:p>
        </w:tc>
        <w:tc>
          <w:tcPr>
            <w:tcW w:w="1980" w:type="dxa"/>
            <w:gridSpan w:val="2"/>
            <w:vAlign w:val="center"/>
          </w:tcPr>
          <w:p>
            <w:r>
              <w:t>{{T3_refer}}</w:t>
            </w:r>
          </w:p>
        </w:tc>
        <w:tc>
          <w:tcPr>
            <w:tcW w:w="1408" w:type="dxa"/>
            <w:gridSpan w:val="2"/>
            <w:vAlign w:val="center"/>
          </w:tcPr>
          <w:p>
            <w:r>
              <w:t>{{T3_unit}}</w:t>
            </w:r>
          </w:p>
        </w:tc>
      </w:tr>
      <w:tr w:rsidR="009967D1" w14:paraId="12E8B7E4" w14:textId="77777777">
        <w:trPr>
          <w:trHeight w:val="1651"/>
          <w:jc w:val="center"/>
        </w:trPr>
        <w:tc>
          <w:tcPr>
            <w:tcW w:w="9653" w:type="dxa"/>
            <w:gridSpan w:val="11"/>
            <w:vAlign w:val="center"/>
          </w:tcPr>
          <w:p w14:paraId="2C53EECA" w14:textId="77777777" w:rsidR="009967D1" w:rsidRDefault="009967D1"/>
          <w:p w14:paraId="2AFC88B6" w14:textId="77777777" w:rsidR="009967D1" w:rsidRDefault="0080134E">
            <w:r>
              <w:rPr>
                <w:b/>
                <w:bCs/>
              </w:rPr>
              <w:t>Clinical Significance:</w:t>
            </w:r>
            <w:r>
              <w:t xml:space="preserve"> Reflects thyroid function, increases in hyperthyroidism and decreases in hypothyroidism, and is also used to evaluate the severity of the disease (such as significantly high T3 in thyroid storm). Normal reference value: 1.3 - 3.1nmol/L.</w:t>
            </w:r>
          </w:p>
          <w:p w14:paraId="351572FA" w14:textId="77777777" w:rsidR="009967D1" w:rsidRDefault="0080134E">
            <w:r>
              <w:rPr>
                <w:b/>
                <w:bCs/>
              </w:rPr>
              <w:t>临床意义：</w:t>
            </w:r>
            <w:r>
              <w:t>反映甲状腺功能，甲亢时升高、甲减时降低，也用于评估病情严重度（如甲亢危象T3显著高）。正常参考值：1.3-3.1nmol/L。</w:t>
            </w:r>
          </w:p>
        </w:tc>
      </w:tr>
      <w:tr w:rsidR="009967D1" w14:paraId="212F3D6B" w14:textId="77777777">
        <w:trPr>
          <w:trHeight w:val="432"/>
          <w:jc w:val="center"/>
        </w:trPr>
        <w:tc>
          <w:tcPr>
            <w:tcW w:w="1150" w:type="dxa"/>
            <w:vAlign w:val="center"/>
          </w:tcPr>
          <w:p>
            <w:r>
              <w:t>T4-Total</w:t>
            </w:r>
          </w:p>
        </w:tc>
        <w:tc>
          <w:tcPr>
            <w:tcW w:w="2536" w:type="dxa"/>
            <w:gridSpan w:val="2"/>
            <w:vAlign w:val="center"/>
          </w:tcPr>
          <w:p>
            <w:r>
              <w:t>Total T4 总甲状腺素</w:t>
            </w:r>
          </w:p>
        </w:tc>
        <w:tc>
          <w:tcPr>
            <w:tcW w:w="1754" w:type="dxa"/>
            <w:gridSpan w:val="2"/>
            <w:vAlign w:val="center"/>
          </w:tcPr>
          <w:p>
            <w:r>
              <w:t>5.72</w:t>
            </w:r>
          </w:p>
        </w:tc>
        <w:tc>
          <w:tcPr>
            <w:tcW w:w="825" w:type="dxa"/>
            <w:gridSpan w:val="2"/>
            <w:vAlign w:val="center"/>
          </w:tcPr>
          <w:p>
            <w:r/>
          </w:p>
        </w:tc>
        <w:tc>
          <w:tcPr>
            <w:tcW w:w="1980" w:type="dxa"/>
            <w:gridSpan w:val="2"/>
            <w:vAlign w:val="center"/>
          </w:tcPr>
          <w:p>
            <w:r>
              <w:t>4.5-12.5</w:t>
            </w:r>
          </w:p>
        </w:tc>
        <w:tc>
          <w:tcPr>
            <w:tcW w:w="1408" w:type="dxa"/>
            <w:gridSpan w:val="2"/>
            <w:vAlign w:val="center"/>
          </w:tcPr>
          <w:p>
            <w:r>
              <w:t>μg/dL</w:t>
            </w:r>
          </w:p>
        </w:tc>
      </w:tr>
    </w:tbl>
    <w:p w14:paraId="04E35BDB" w14:textId="77777777" w:rsidR="009967D1" w:rsidRDefault="009967D1" w:rsidP="004619DA">
      <w:pPr>
        <w:pStyle w:val="0"/>
      </w:pPr>
    </w:p>
    <w:p w14:paraId="2147929D"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ED7237B" w14:textId="77777777">
        <w:trPr>
          <w:trHeight w:hRule="exact" w:val="113"/>
          <w:jc w:val="center"/>
        </w:trPr>
        <w:tc>
          <w:tcPr>
            <w:tcW w:w="1560" w:type="dxa"/>
            <w:gridSpan w:val="2"/>
            <w:tcBorders>
              <w:top w:val="single" w:sz="4" w:space="0" w:color="auto"/>
            </w:tcBorders>
            <w:vAlign w:val="center"/>
          </w:tcPr>
          <w:p w14:paraId="51D05166"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FCF9105"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8FB33E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803CD08"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4DDA61D"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63A8A45" w14:textId="77777777" w:rsidR="009967D1" w:rsidRDefault="009967D1">
            <w:pPr>
              <w:spacing w:line="300" w:lineRule="exact"/>
              <w:jc w:val="right"/>
              <w:rPr>
                <w:color w:val="323E4F" w:themeColor="text2" w:themeShade="BF"/>
                <w:sz w:val="2"/>
                <w:szCs w:val="2"/>
              </w:rPr>
            </w:pPr>
          </w:p>
        </w:tc>
      </w:tr>
      <w:tr w:rsidR="009967D1" w14:paraId="066CFE1E" w14:textId="77777777">
        <w:trPr>
          <w:trHeight w:val="432"/>
          <w:jc w:val="center"/>
        </w:trPr>
        <w:tc>
          <w:tcPr>
            <w:tcW w:w="1150" w:type="dxa"/>
            <w:vAlign w:val="center"/>
          </w:tcPr>
          <w:p w14:paraId="6E78D1D0" w14:textId="77777777" w:rsidR="009967D1" w:rsidRDefault="0080134E">
            <w:pPr>
              <w:spacing w:line="400" w:lineRule="exact"/>
              <w:jc w:val="center"/>
              <w:rPr>
                <w:b/>
                <w:bCs/>
                <w:color w:val="000000" w:themeColor="text1"/>
                <w:sz w:val="24"/>
              </w:rPr>
            </w:pPr>
            <w:r>
              <w:rPr>
                <w:rFonts w:hint="eastAsia"/>
                <w:b/>
                <w:bCs/>
                <w:color w:val="000000" w:themeColor="text1"/>
                <w:sz w:val="24"/>
              </w:rPr>
              <w:t>T4</w:t>
            </w:r>
          </w:p>
        </w:tc>
        <w:tc>
          <w:tcPr>
            <w:tcW w:w="2536" w:type="dxa"/>
            <w:gridSpan w:val="2"/>
            <w:vAlign w:val="center"/>
          </w:tcPr>
          <w:p w14:paraId="2C16183E" w14:textId="77777777" w:rsidR="009967D1" w:rsidRDefault="0080134E">
            <w:pPr>
              <w:spacing w:line="400" w:lineRule="exact"/>
              <w:jc w:val="center"/>
              <w:rPr>
                <w:b/>
                <w:bCs/>
                <w:color w:val="000000" w:themeColor="text1"/>
                <w:sz w:val="24"/>
              </w:rPr>
            </w:pPr>
            <w:r>
              <w:rPr>
                <w:rFonts w:hint="eastAsia"/>
                <w:b/>
                <w:bCs/>
                <w:color w:val="000000" w:themeColor="text1"/>
                <w:sz w:val="24"/>
              </w:rPr>
              <w:t>甲状腺素</w:t>
            </w:r>
          </w:p>
        </w:tc>
        <w:tc>
          <w:tcPr>
            <w:tcW w:w="1754" w:type="dxa"/>
            <w:gridSpan w:val="2"/>
            <w:vAlign w:val="center"/>
          </w:tcPr>
          <w:p>
            <w:r>
              <w:t>{{T4_result}}</w:t>
            </w:r>
          </w:p>
        </w:tc>
        <w:tc>
          <w:tcPr>
            <w:tcW w:w="825" w:type="dxa"/>
            <w:gridSpan w:val="2"/>
            <w:vAlign w:val="center"/>
          </w:tcPr>
          <w:p>
            <w:r>
              <w:t>{{T4_point}}</w:t>
            </w:r>
          </w:p>
        </w:tc>
        <w:tc>
          <w:tcPr>
            <w:tcW w:w="1980" w:type="dxa"/>
            <w:gridSpan w:val="2"/>
            <w:vAlign w:val="center"/>
          </w:tcPr>
          <w:p>
            <w:r>
              <w:t>{{T4_refer}}</w:t>
            </w:r>
          </w:p>
        </w:tc>
        <w:tc>
          <w:tcPr>
            <w:tcW w:w="1408" w:type="dxa"/>
            <w:gridSpan w:val="2"/>
            <w:vAlign w:val="center"/>
          </w:tcPr>
          <w:p>
            <w:r>
              <w:t>{{T4_unit}}</w:t>
            </w:r>
          </w:p>
        </w:tc>
      </w:tr>
      <w:tr w:rsidR="009967D1" w14:paraId="2006350E" w14:textId="77777777">
        <w:trPr>
          <w:trHeight w:val="1651"/>
          <w:jc w:val="center"/>
        </w:trPr>
        <w:tc>
          <w:tcPr>
            <w:tcW w:w="9653" w:type="dxa"/>
            <w:gridSpan w:val="11"/>
            <w:vAlign w:val="center"/>
          </w:tcPr>
          <w:p w14:paraId="1E5D724F" w14:textId="77777777" w:rsidR="009967D1" w:rsidRDefault="009967D1"/>
          <w:p w14:paraId="01F6F707" w14:textId="77777777" w:rsidR="009967D1" w:rsidRDefault="0080134E">
            <w:r>
              <w:rPr>
                <w:b/>
                <w:bCs/>
              </w:rPr>
              <w:t>Clinical Significance:</w:t>
            </w:r>
            <w:r>
              <w:t xml:space="preserve"> Reflects thyroid function, increases in hyperthyroidism and decreases in hypothyroidism. Because T4 has a long half - life, it more stably reflects thyroid reserve function. Normal reference value: 12 - 22pmol/L.</w:t>
            </w:r>
          </w:p>
          <w:p w14:paraId="7A6F6F1A" w14:textId="77777777" w:rsidR="009967D1" w:rsidRDefault="0080134E">
            <w:r>
              <w:rPr>
                <w:b/>
                <w:bCs/>
              </w:rPr>
              <w:t>临床意义：</w:t>
            </w:r>
            <w:r>
              <w:t>反映甲状腺功能，甲亢时升高、甲减时降低，因T4半衰期长，更稳定反映甲状腺储备功能。正常参考值：12-22pmol/L。</w:t>
            </w:r>
          </w:p>
        </w:tc>
      </w:tr>
    </w:tbl>
    <w:p w14:paraId="292E2730" w14:textId="77777777" w:rsidR="009967D1" w:rsidRDefault="009967D1" w:rsidP="004619DA">
      <w:pPr>
        <w:pStyle w:val="0"/>
      </w:pPr>
    </w:p>
    <w:p w14:paraId="6AA232C1"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5EA1B0C" w14:textId="77777777">
        <w:trPr>
          <w:trHeight w:hRule="exact" w:val="113"/>
          <w:jc w:val="center"/>
        </w:trPr>
        <w:tc>
          <w:tcPr>
            <w:tcW w:w="1560" w:type="dxa"/>
            <w:gridSpan w:val="2"/>
            <w:tcBorders>
              <w:top w:val="single" w:sz="4" w:space="0" w:color="auto"/>
            </w:tcBorders>
            <w:vAlign w:val="center"/>
          </w:tcPr>
          <w:p w14:paraId="6B81F98A"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44F24C2"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B42097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F71A565"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5E2F001"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E1E27CF" w14:textId="77777777" w:rsidR="009967D1" w:rsidRDefault="009967D1">
            <w:pPr>
              <w:spacing w:line="300" w:lineRule="exact"/>
              <w:jc w:val="right"/>
              <w:rPr>
                <w:color w:val="323E4F" w:themeColor="text2" w:themeShade="BF"/>
                <w:sz w:val="2"/>
                <w:szCs w:val="2"/>
              </w:rPr>
            </w:pPr>
          </w:p>
        </w:tc>
      </w:tr>
      <w:tr w:rsidR="009967D1" w14:paraId="1D226BC6" w14:textId="77777777">
        <w:trPr>
          <w:trHeight w:val="432"/>
          <w:jc w:val="center"/>
        </w:trPr>
        <w:tc>
          <w:tcPr>
            <w:tcW w:w="1150" w:type="dxa"/>
            <w:vAlign w:val="center"/>
          </w:tcPr>
          <w:p w14:paraId="611C75F2" w14:textId="77777777" w:rsidR="009967D1" w:rsidRDefault="0080134E">
            <w:pPr>
              <w:spacing w:line="400" w:lineRule="exact"/>
              <w:jc w:val="center"/>
              <w:rPr>
                <w:b/>
                <w:bCs/>
                <w:color w:val="000000" w:themeColor="text1"/>
                <w:sz w:val="24"/>
              </w:rPr>
            </w:pPr>
            <w:r>
              <w:rPr>
                <w:rFonts w:hint="eastAsia"/>
                <w:b/>
                <w:bCs/>
                <w:color w:val="000000" w:themeColor="text1"/>
                <w:sz w:val="24"/>
              </w:rPr>
              <w:t>FT3</w:t>
            </w:r>
          </w:p>
        </w:tc>
        <w:tc>
          <w:tcPr>
            <w:tcW w:w="2536" w:type="dxa"/>
            <w:gridSpan w:val="2"/>
            <w:vAlign w:val="center"/>
          </w:tcPr>
          <w:p w14:paraId="1BE5B5E9" w14:textId="77777777" w:rsidR="009967D1" w:rsidRDefault="0080134E">
            <w:pPr>
              <w:spacing w:line="400" w:lineRule="exact"/>
              <w:jc w:val="center"/>
              <w:rPr>
                <w:b/>
                <w:bCs/>
                <w:color w:val="000000" w:themeColor="text1"/>
                <w:sz w:val="24"/>
              </w:rPr>
            </w:pPr>
            <w:r>
              <w:rPr>
                <w:rFonts w:hint="eastAsia"/>
                <w:b/>
                <w:bCs/>
                <w:color w:val="000000" w:themeColor="text1"/>
                <w:sz w:val="24"/>
              </w:rPr>
              <w:t>游离三碘甲状腺原氨酸</w:t>
            </w:r>
          </w:p>
        </w:tc>
        <w:tc>
          <w:tcPr>
            <w:tcW w:w="1754" w:type="dxa"/>
            <w:gridSpan w:val="2"/>
            <w:vAlign w:val="center"/>
          </w:tcPr>
          <w:p>
            <w:r>
              <w:t>{{FT3_result}}</w:t>
            </w:r>
          </w:p>
        </w:tc>
        <w:tc>
          <w:tcPr>
            <w:tcW w:w="825" w:type="dxa"/>
            <w:gridSpan w:val="2"/>
            <w:vAlign w:val="center"/>
          </w:tcPr>
          <w:p>
            <w:r>
              <w:t>{{FT3_point}}</w:t>
            </w:r>
          </w:p>
        </w:tc>
        <w:tc>
          <w:tcPr>
            <w:tcW w:w="1980" w:type="dxa"/>
            <w:gridSpan w:val="2"/>
            <w:vAlign w:val="center"/>
          </w:tcPr>
          <w:p>
            <w:r>
              <w:t>{{FT3_refer}}</w:t>
            </w:r>
          </w:p>
        </w:tc>
        <w:tc>
          <w:tcPr>
            <w:tcW w:w="1408" w:type="dxa"/>
            <w:gridSpan w:val="2"/>
            <w:vAlign w:val="center"/>
          </w:tcPr>
          <w:p>
            <w:r>
              <w:t>{{FT3_unit}}</w:t>
            </w:r>
          </w:p>
        </w:tc>
      </w:tr>
      <w:tr w:rsidR="009967D1" w14:paraId="47D83FD1" w14:textId="77777777">
        <w:trPr>
          <w:trHeight w:val="1651"/>
          <w:jc w:val="center"/>
        </w:trPr>
        <w:tc>
          <w:tcPr>
            <w:tcW w:w="9653" w:type="dxa"/>
            <w:gridSpan w:val="11"/>
            <w:vAlign w:val="center"/>
          </w:tcPr>
          <w:p w14:paraId="4C8D48D2" w14:textId="77777777" w:rsidR="009967D1" w:rsidRDefault="009967D1"/>
          <w:p w14:paraId="632F7B7A" w14:textId="77777777" w:rsidR="009967D1" w:rsidRDefault="0080134E">
            <w:r>
              <w:rPr>
                <w:b/>
                <w:bCs/>
              </w:rPr>
              <w:t>Clinical Significance:</w:t>
            </w:r>
            <w:r>
              <w:t xml:space="preserve"> Reflects the "active indicator" of thyroid function, not affected by binding proteins, more accurately diagnosing hyperthyroidism / hypothyroidism. Normal reference value: 3.1 - 6.8pmol/L.</w:t>
            </w:r>
          </w:p>
          <w:p w14:paraId="2FA0D355" w14:textId="77777777" w:rsidR="009967D1" w:rsidRDefault="0080134E">
            <w:r>
              <w:rPr>
                <w:b/>
                <w:bCs/>
              </w:rPr>
              <w:t>临床意义：</w:t>
            </w:r>
            <w:r>
              <w:t>反映甲状腺功能的“活性指标”，不受结合蛋白影响，更精准诊断甲亢/甲减。正常参考值：3.1-6.8pmol/L。</w:t>
            </w:r>
          </w:p>
        </w:tc>
      </w:tr>
    </w:tbl>
    <w:p w14:paraId="4E1509E5" w14:textId="77777777" w:rsidR="009967D1" w:rsidRDefault="009967D1" w:rsidP="004619DA">
      <w:pPr>
        <w:pStyle w:val="0"/>
      </w:pPr>
    </w:p>
    <w:p w14:paraId="18296F4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C4C14D4" w14:textId="77777777">
        <w:trPr>
          <w:trHeight w:hRule="exact" w:val="113"/>
          <w:jc w:val="center"/>
        </w:trPr>
        <w:tc>
          <w:tcPr>
            <w:tcW w:w="1560" w:type="dxa"/>
            <w:gridSpan w:val="2"/>
            <w:tcBorders>
              <w:top w:val="single" w:sz="4" w:space="0" w:color="auto"/>
            </w:tcBorders>
            <w:vAlign w:val="center"/>
          </w:tcPr>
          <w:p w14:paraId="089EF5E0"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54B483F"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41F89B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8F3938B"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36FEF5A"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83DF77B" w14:textId="77777777" w:rsidR="009967D1" w:rsidRDefault="009967D1">
            <w:pPr>
              <w:spacing w:line="300" w:lineRule="exact"/>
              <w:jc w:val="right"/>
              <w:rPr>
                <w:color w:val="323E4F" w:themeColor="text2" w:themeShade="BF"/>
                <w:sz w:val="2"/>
                <w:szCs w:val="2"/>
              </w:rPr>
            </w:pPr>
          </w:p>
        </w:tc>
      </w:tr>
      <w:tr w:rsidR="009967D1" w14:paraId="3DCE1D8B" w14:textId="77777777">
        <w:trPr>
          <w:trHeight w:val="432"/>
          <w:jc w:val="center"/>
        </w:trPr>
        <w:tc>
          <w:tcPr>
            <w:tcW w:w="1150" w:type="dxa"/>
            <w:vAlign w:val="center"/>
          </w:tcPr>
          <w:p w14:paraId="0DC7FF7B" w14:textId="77777777" w:rsidR="009967D1" w:rsidRDefault="0080134E">
            <w:pPr>
              <w:spacing w:line="400" w:lineRule="exact"/>
              <w:jc w:val="center"/>
              <w:rPr>
                <w:b/>
                <w:bCs/>
                <w:color w:val="000000" w:themeColor="text1"/>
                <w:sz w:val="24"/>
              </w:rPr>
            </w:pPr>
            <w:r>
              <w:rPr>
                <w:rFonts w:hint="eastAsia"/>
                <w:b/>
                <w:bCs/>
                <w:color w:val="000000" w:themeColor="text1"/>
                <w:sz w:val="24"/>
              </w:rPr>
              <w:t>FT4</w:t>
            </w:r>
          </w:p>
        </w:tc>
        <w:tc>
          <w:tcPr>
            <w:tcW w:w="2536" w:type="dxa"/>
            <w:gridSpan w:val="2"/>
            <w:vAlign w:val="center"/>
          </w:tcPr>
          <w:p w14:paraId="4CA0CBE7" w14:textId="77777777" w:rsidR="009967D1" w:rsidRDefault="0080134E">
            <w:pPr>
              <w:spacing w:line="400" w:lineRule="exact"/>
              <w:jc w:val="center"/>
              <w:rPr>
                <w:b/>
                <w:bCs/>
                <w:color w:val="000000" w:themeColor="text1"/>
                <w:sz w:val="24"/>
              </w:rPr>
            </w:pPr>
            <w:r>
              <w:rPr>
                <w:rFonts w:hint="eastAsia"/>
                <w:b/>
                <w:bCs/>
                <w:color w:val="000000" w:themeColor="text1"/>
                <w:sz w:val="24"/>
              </w:rPr>
              <w:t>游离甲状腺素</w:t>
            </w:r>
          </w:p>
        </w:tc>
        <w:tc>
          <w:tcPr>
            <w:tcW w:w="1754" w:type="dxa"/>
            <w:gridSpan w:val="2"/>
            <w:vAlign w:val="center"/>
          </w:tcPr>
          <w:p>
            <w:r>
              <w:t>{{FT4_result}}</w:t>
            </w:r>
          </w:p>
        </w:tc>
        <w:tc>
          <w:tcPr>
            <w:tcW w:w="825" w:type="dxa"/>
            <w:gridSpan w:val="2"/>
            <w:vAlign w:val="center"/>
          </w:tcPr>
          <w:p>
            <w:r>
              <w:t>{{FT4_point}}</w:t>
            </w:r>
          </w:p>
        </w:tc>
        <w:tc>
          <w:tcPr>
            <w:tcW w:w="1980" w:type="dxa"/>
            <w:gridSpan w:val="2"/>
            <w:vAlign w:val="center"/>
          </w:tcPr>
          <w:p>
            <w:r>
              <w:t>{{FT4_refer}}</w:t>
            </w:r>
          </w:p>
        </w:tc>
        <w:tc>
          <w:tcPr>
            <w:tcW w:w="1408" w:type="dxa"/>
            <w:gridSpan w:val="2"/>
            <w:vAlign w:val="center"/>
          </w:tcPr>
          <w:p>
            <w:r>
              <w:t>{{FT4_unit}}</w:t>
            </w:r>
          </w:p>
        </w:tc>
      </w:tr>
      <w:tr w:rsidR="009967D1" w14:paraId="2177D47C" w14:textId="77777777">
        <w:trPr>
          <w:trHeight w:val="1651"/>
          <w:jc w:val="center"/>
        </w:trPr>
        <w:tc>
          <w:tcPr>
            <w:tcW w:w="9653" w:type="dxa"/>
            <w:gridSpan w:val="11"/>
            <w:vAlign w:val="center"/>
          </w:tcPr>
          <w:p w14:paraId="27502727" w14:textId="77777777" w:rsidR="009967D1" w:rsidRDefault="009967D1"/>
          <w:p w14:paraId="48FACBD9" w14:textId="77777777" w:rsidR="009967D1" w:rsidRDefault="0080134E">
            <w:r>
              <w:rPr>
                <w:b/>
                <w:bCs/>
              </w:rPr>
              <w:t>Clinical Significance:</w:t>
            </w:r>
            <w:r>
              <w:t xml:space="preserve"> </w:t>
            </w:r>
            <w:proofErr w:type="gramStart"/>
            <w:r>
              <w:t>The "active indicator" of thyroid function,</w:t>
            </w:r>
            <w:proofErr w:type="gramEnd"/>
            <w:r>
              <w:t xml:space="preserve"> stably reflects thyroid hormone levels, and is a core indicator for the diagnosis and efficacy monitoring of hyperthyroidism / hypothyroidism. Normal reference value: 12 - 22pmol/L.</w:t>
            </w:r>
          </w:p>
          <w:p w14:paraId="586B2503" w14:textId="77777777" w:rsidR="009967D1" w:rsidRDefault="0080134E">
            <w:r>
              <w:rPr>
                <w:b/>
                <w:bCs/>
              </w:rPr>
              <w:t>临床意义：</w:t>
            </w:r>
            <w:r>
              <w:t>甲状腺功能“活性指标”，稳定反映甲状腺激素水平，甲亢/甲减诊断、疗效监测核心指标。正常参考值：12-22pmol/L。</w:t>
            </w:r>
          </w:p>
        </w:tc>
      </w:tr>
      <w:tr>
        <w:tc>
          <w:tcPr>
            <w:tcW w:type="dxa" w:w="1150"/>
          </w:tcPr>
          <w:p>
            <w:r>
              <w:t>DHEA-S</w:t>
            </w:r>
          </w:p>
        </w:tc>
        <w:tc>
          <w:tcPr>
            <w:tcW w:type="dxa" w:w="410"/>
          </w:tcPr>
          <w:p>
            <w:r>
              <w:t>DHEA-Sulphate</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r>
        <w:tc>
          <w:tcPr>
            <w:tcW w:type="dxa" w:w="1150"/>
          </w:tcPr>
          <w:p>
            <w:r>
              <w:t>TESTO</w:t>
            </w:r>
          </w:p>
        </w:tc>
        <w:tc>
          <w:tcPr>
            <w:tcW w:type="dxa" w:w="410"/>
          </w:tcPr>
          <w:p>
            <w:r>
              <w:t>Testosterone</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bl>
    <w:p w14:paraId="0D1F5E36" w14:textId="77777777" w:rsidR="009967D1" w:rsidRDefault="009967D1" w:rsidP="004619DA">
      <w:pPr>
        <w:pStyle w:val="0"/>
      </w:pPr>
    </w:p>
    <w:p w14:paraId="076DE3D6"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3178714" w14:textId="77777777">
        <w:trPr>
          <w:trHeight w:hRule="exact" w:val="113"/>
          <w:jc w:val="center"/>
        </w:trPr>
        <w:tc>
          <w:tcPr>
            <w:tcW w:w="1560" w:type="dxa"/>
            <w:gridSpan w:val="2"/>
            <w:tcBorders>
              <w:top w:val="single" w:sz="4" w:space="0" w:color="auto"/>
            </w:tcBorders>
            <w:vAlign w:val="center"/>
          </w:tcPr>
          <w:p w14:paraId="1DCA2E49"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05E5A1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EB23D2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6E1E30E"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2D065BA"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FDB8202" w14:textId="77777777" w:rsidR="009967D1" w:rsidRDefault="009967D1">
            <w:pPr>
              <w:spacing w:line="300" w:lineRule="exact"/>
              <w:jc w:val="right"/>
              <w:rPr>
                <w:color w:val="323E4F" w:themeColor="text2" w:themeShade="BF"/>
                <w:sz w:val="2"/>
                <w:szCs w:val="2"/>
              </w:rPr>
            </w:pPr>
          </w:p>
        </w:tc>
      </w:tr>
      <w:tr w:rsidR="009967D1" w14:paraId="13B5CAEF" w14:textId="77777777">
        <w:trPr>
          <w:trHeight w:val="432"/>
          <w:jc w:val="center"/>
        </w:trPr>
        <w:tc>
          <w:tcPr>
            <w:tcW w:w="1150" w:type="dxa"/>
            <w:vAlign w:val="center"/>
          </w:tcPr>
          <w:p w14:paraId="48A5E9F3" w14:textId="77777777" w:rsidR="009967D1" w:rsidRDefault="0080134E">
            <w:pPr>
              <w:spacing w:line="400" w:lineRule="exact"/>
              <w:jc w:val="center"/>
              <w:rPr>
                <w:b/>
                <w:bCs/>
                <w:color w:val="000000" w:themeColor="text1"/>
                <w:sz w:val="24"/>
              </w:rPr>
            </w:pPr>
            <w:r>
              <w:rPr>
                <w:rFonts w:hint="eastAsia"/>
                <w:b/>
                <w:bCs/>
                <w:color w:val="000000" w:themeColor="text1"/>
                <w:sz w:val="24"/>
              </w:rPr>
              <w:t>TSH</w:t>
            </w:r>
          </w:p>
        </w:tc>
        <w:tc>
          <w:tcPr>
            <w:tcW w:w="2536" w:type="dxa"/>
            <w:gridSpan w:val="2"/>
            <w:vAlign w:val="center"/>
          </w:tcPr>
          <w:p w14:paraId="200CE765" w14:textId="77777777" w:rsidR="009967D1" w:rsidRDefault="0080134E">
            <w:pPr>
              <w:spacing w:line="400" w:lineRule="exact"/>
              <w:jc w:val="center"/>
              <w:rPr>
                <w:b/>
                <w:bCs/>
                <w:color w:val="000000" w:themeColor="text1"/>
                <w:sz w:val="24"/>
              </w:rPr>
            </w:pPr>
            <w:r>
              <w:rPr>
                <w:rFonts w:hint="eastAsia"/>
                <w:b/>
                <w:bCs/>
                <w:color w:val="000000" w:themeColor="text1"/>
                <w:sz w:val="24"/>
              </w:rPr>
              <w:t>促甲状腺激素</w:t>
            </w:r>
          </w:p>
        </w:tc>
        <w:tc>
          <w:tcPr>
            <w:tcW w:w="1754" w:type="dxa"/>
            <w:gridSpan w:val="2"/>
            <w:vAlign w:val="center"/>
          </w:tcPr>
          <w:p>
            <w:r>
              <w:t>{{TSH_result}}</w:t>
            </w:r>
          </w:p>
        </w:tc>
        <w:tc>
          <w:tcPr>
            <w:tcW w:w="825" w:type="dxa"/>
            <w:gridSpan w:val="2"/>
            <w:vAlign w:val="center"/>
          </w:tcPr>
          <w:p>
            <w:r>
              <w:t>{{TSH_point}}</w:t>
            </w:r>
          </w:p>
        </w:tc>
        <w:tc>
          <w:tcPr>
            <w:tcW w:w="1980" w:type="dxa"/>
            <w:gridSpan w:val="2"/>
            <w:vAlign w:val="center"/>
          </w:tcPr>
          <w:p>
            <w:r>
              <w:t>{{TSH_refer}}</w:t>
            </w:r>
          </w:p>
        </w:tc>
        <w:tc>
          <w:tcPr>
            <w:tcW w:w="1408" w:type="dxa"/>
            <w:gridSpan w:val="2"/>
            <w:vAlign w:val="center"/>
          </w:tcPr>
          <w:p>
            <w:r>
              <w:t>{{TSH_unit}}</w:t>
            </w:r>
          </w:p>
        </w:tc>
      </w:tr>
      <w:tr w:rsidR="009967D1" w14:paraId="4EE09964" w14:textId="77777777">
        <w:trPr>
          <w:trHeight w:val="1651"/>
          <w:jc w:val="center"/>
        </w:trPr>
        <w:tc>
          <w:tcPr>
            <w:tcW w:w="9653" w:type="dxa"/>
            <w:gridSpan w:val="11"/>
            <w:vAlign w:val="center"/>
          </w:tcPr>
          <w:p w14:paraId="4036E8A0" w14:textId="77777777" w:rsidR="009967D1" w:rsidRDefault="009967D1"/>
          <w:p w14:paraId="158705A3" w14:textId="77777777" w:rsidR="009967D1" w:rsidRDefault="0080134E">
            <w:r>
              <w:rPr>
                <w:b/>
                <w:bCs/>
              </w:rPr>
              <w:t>Clinical Significance:</w:t>
            </w:r>
            <w:r>
              <w:t xml:space="preserve"> Reflects the function of the pituitary - thyroid axis, decreases in hyperthyroidism and increases in hypothyroidism, and is the preferred screening indicator for hypothyroidism (sensitive). Normal reference value: 0.27 - 4.2mIU/L.</w:t>
            </w:r>
          </w:p>
          <w:p w14:paraId="77F00AF0" w14:textId="77777777" w:rsidR="009967D1" w:rsidRDefault="0080134E">
            <w:r>
              <w:rPr>
                <w:b/>
                <w:bCs/>
              </w:rPr>
              <w:t>临床意义：</w:t>
            </w:r>
            <w:r>
              <w:t>反映垂体-甲状腺轴功能，甲亢时降低、甲减时升高，是甲减首选筛查指标（敏感）。正常参考值：0.27-4.2mIU/L。</w:t>
            </w:r>
          </w:p>
        </w:tc>
      </w:tr>
    </w:tbl>
    <w:p w14:paraId="19696314"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6E25F40B" w14:textId="48580185" w:rsidR="009967D1" w:rsidRDefault="005F65D3" w:rsidP="005F65D3">
      <w:pPr>
        <w:pStyle w:val="3-"/>
      </w:pPr>
      <w:r>
        <w:lastRenderedPageBreak/>
        <w:t>T</w:t>
      </w:r>
      <w:r w:rsidRPr="005F65D3">
        <w:t>hromboembolism</w:t>
      </w:r>
      <w:r>
        <w:br/>
      </w:r>
      <w:r w:rsidR="0080134E">
        <w:rPr>
          <w:rFonts w:hint="eastAsia"/>
        </w:rPr>
        <w:t>心脑血管风险因子</w:t>
      </w:r>
    </w:p>
    <w:p w14:paraId="58DA5D31" w14:textId="77777777" w:rsidR="005F65D3" w:rsidRDefault="005F65D3" w:rsidP="005F65D3">
      <w:pPr>
        <w:pStyle w:val="0"/>
      </w:pPr>
    </w:p>
    <w:p w14:paraId="35BF00A9" w14:textId="4384D9AD" w:rsidR="005F65D3" w:rsidRDefault="005F65D3" w:rsidP="005F65D3">
      <w:pPr>
        <w:pStyle w:val="00"/>
      </w:pPr>
      <w:r w:rsidRPr="005F65D3">
        <w:t>Thromboembolism-related risk factor testing is a vital laboratory evaluation for assessing the risk of atherosclerosis, thrombosis, and major cardiovascular or cerebrovascular events. The key indicators include homocysteine (Hcy) and D-dimer, which reflect endothelial function, hypercoagulability, and potential thrombus formation, thereby providing essential guidance for early prevention and intervention.</w:t>
      </w:r>
    </w:p>
    <w:p w14:paraId="4B0D0C99" w14:textId="180FEB35" w:rsidR="005F65D3" w:rsidRDefault="005F65D3" w:rsidP="005F65D3">
      <w:pPr>
        <w:pStyle w:val="0"/>
      </w:pPr>
      <w:r>
        <w:t>心脑血管风险因子检测是评估动脉粥样硬化、血栓形成以及心脑血管事件风险的重要实验室检查，常用指标包括同型半胱氨酸（</w:t>
      </w:r>
      <w:r>
        <w:t>Homocysteine</w:t>
      </w:r>
      <w:r>
        <w:t>）和</w:t>
      </w:r>
      <w:r>
        <w:t>D-</w:t>
      </w:r>
      <w:r>
        <w:t>二聚体（</w:t>
      </w:r>
      <w:r>
        <w:t>D-Dimer</w:t>
      </w:r>
      <w:r>
        <w:t>）。这两项检测能够反映血管内皮功能、血液高凝状态及潜在的血栓形成风险，为早期干预和预防重大心脑血管事件提供科学依据。</w:t>
      </w:r>
    </w:p>
    <w:p w14:paraId="4EA93973" w14:textId="2E151CAC" w:rsidR="005F65D3" w:rsidRDefault="005F65D3" w:rsidP="005F65D3">
      <w:pPr>
        <w:pStyle w:val="00"/>
      </w:pPr>
      <w:r w:rsidRPr="005F65D3">
        <w:t>Homocysteine (Hcy) is a sulfur-containing amino acid metabolite, and elevated levels are strongly associated with endothelial dysfunction and atherosclerosis. Hyperhomocysteinemia is considered an independent risk factor for cardiovascular and cerebrovascular disease, increasing the likelihood of coronary heart disease, stroke, and venous thrombosis. D-dimer is a fibrin degradation product, and elevated concentrations indicate ongoing fibrinolysis or thrombus formation. It is widely used as an auxiliary diagnostic and risk assessment tool for conditions such as deep vein thrombosis and pulmonary embolism.</w:t>
      </w:r>
    </w:p>
    <w:p w14:paraId="4D0DD1E2" w14:textId="5A0D000D" w:rsidR="005F65D3" w:rsidRDefault="005F65D3" w:rsidP="005F65D3">
      <w:pPr>
        <w:pStyle w:val="0"/>
      </w:pPr>
      <w:r>
        <w:t>同型半胱氨酸（</w:t>
      </w:r>
      <w:r>
        <w:t>Hcy</w:t>
      </w:r>
      <w:r>
        <w:t>）是一种含硫氨基酸的代谢产物，其水平升高与动脉粥样硬化和血管内皮损伤密切相关。高同型半胱氨酸血症被认为是独立的心脑血管疾病危险因素，能增加冠心病、脑卒中及静脉血栓的风险。</w:t>
      </w:r>
      <w:r>
        <w:t>D-</w:t>
      </w:r>
      <w:r>
        <w:t>二聚体（</w:t>
      </w:r>
      <w:r>
        <w:t>D-Dimer</w:t>
      </w:r>
      <w:r>
        <w:t>）是纤维蛋白降解产物，其升高提示体内存在纤溶亢进或血栓形成过程，常用于静脉血栓、肺栓塞等疾病的辅助诊断和风险评估。</w:t>
      </w:r>
    </w:p>
    <w:p w14:paraId="2639B487" w14:textId="2D03566E" w:rsidR="005F65D3" w:rsidRDefault="005F65D3" w:rsidP="005F65D3">
      <w:pPr>
        <w:pStyle w:val="00"/>
      </w:pPr>
      <w:r w:rsidRPr="005F65D3">
        <w:t>In preventive healthcare, the value of these tests lies not only in detecting early signs of thrombotic disorders but also in risk stratification for high-risk populations. For individuals with hypertension, diabetes, obesity, sedentary lifestyle, smoking habits, or a family history of cardiovascular disease, monitoring Hcy and D-dimer levels enables timely interventions such as dietary modification, folate or B-vitamin supplementation, and, when necessary, anticoagulant or antiplatelet therapy.</w:t>
      </w:r>
    </w:p>
    <w:p w14:paraId="0ECF6853" w14:textId="77777777" w:rsidR="005F65D3" w:rsidRDefault="005F65D3" w:rsidP="005F65D3">
      <w:pPr>
        <w:pStyle w:val="0"/>
      </w:pPr>
      <w:r>
        <w:t>在健康管理中，这类检测的意义不仅在于发现血栓相关疾病的早期迹象，更在于对高危人群的风险预测。例如，高血压、糖尿病、肥胖、长期久坐、吸烟或有心脑血管家族史的人群，通过监测同型半胱氨酸与</w:t>
      </w:r>
      <w:r>
        <w:t>D-</w:t>
      </w:r>
      <w:r>
        <w:t>二聚体水平，可以及早采取干预措施（如改善饮食、补充叶酸</w:t>
      </w:r>
      <w:r>
        <w:t>/</w:t>
      </w:r>
      <w:r>
        <w:t>维生素</w:t>
      </w:r>
      <w:r>
        <w:t>B</w:t>
      </w:r>
      <w:r>
        <w:t>族、抗凝或抗血小板治疗）。</w:t>
      </w:r>
    </w:p>
    <w:p w14:paraId="45E2045B" w14:textId="7FDCD7CD" w:rsidR="005F65D3" w:rsidRDefault="005F65D3" w:rsidP="005F65D3">
      <w:pPr>
        <w:pStyle w:val="00"/>
      </w:pPr>
      <w:r w:rsidRPr="005F65D3">
        <w:t>Thus, thromboembolism-related risk factor testing is not only an important tool for cardiovascular and cerebrovascular disease prevention but also a cornerstone of personalized health management and precision medicine, helping to improve vascular health and reduce the risk of stroke and myocardial infarction.</w:t>
      </w:r>
    </w:p>
    <w:p w14:paraId="51A8CB89" w14:textId="0413FD6F" w:rsidR="005F65D3" w:rsidRDefault="00272239" w:rsidP="005F65D3">
      <w:pPr>
        <w:pStyle w:val="0"/>
      </w:pPr>
      <w:r w:rsidRPr="009E1205">
        <w:rPr>
          <w:noProof/>
        </w:rPr>
        <w:drawing>
          <wp:anchor distT="0" distB="0" distL="114300" distR="114300" simplePos="0" relativeHeight="251686912" behindDoc="0" locked="0" layoutInCell="1" allowOverlap="1" wp14:anchorId="553A39BA" wp14:editId="6EEFAA94">
            <wp:simplePos x="0" y="0"/>
            <wp:positionH relativeFrom="column">
              <wp:posOffset>1270</wp:posOffset>
            </wp:positionH>
            <wp:positionV relativeFrom="paragraph">
              <wp:posOffset>528955</wp:posOffset>
            </wp:positionV>
            <wp:extent cx="6079490" cy="1330960"/>
            <wp:effectExtent l="0" t="0" r="3810" b="2540"/>
            <wp:wrapNone/>
            <wp:docPr id="8848510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851070" name="图片 1"/>
                    <pic:cNvPicPr/>
                  </pic:nvPicPr>
                  <pic:blipFill rotWithShape="1">
                    <a:blip r:embed="rId25">
                      <a:extLst>
                        <a:ext uri="{28A0092B-C50C-407E-A947-70E740481C1C}">
                          <a14:useLocalDpi xmlns:a14="http://schemas.microsoft.com/office/drawing/2010/main" val="0"/>
                        </a:ext>
                      </a:extLst>
                    </a:blip>
                    <a:srcRect l="-3" t="28305" r="3" b="32712"/>
                    <a:stretch>
                      <a:fillRect/>
                    </a:stretch>
                  </pic:blipFill>
                  <pic:spPr bwMode="auto">
                    <a:xfrm>
                      <a:off x="0" y="0"/>
                      <a:ext cx="6079490" cy="13309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F65D3">
        <w:t>因此，心脑血管风险因子检测不仅是心脑血管疾病防控的重要工具，也是个体化健康管理和精准干预的关键依据，对提升心脑血管健康水平、降低卒中和心梗风险具有重要价值。</w:t>
      </w:r>
    </w:p>
    <w:p w14:paraId="1EF92557" w14:textId="2D9D3C03" w:rsidR="005F65D3" w:rsidRPr="005F65D3" w:rsidRDefault="005F65D3" w:rsidP="005F65D3">
      <w:pPr>
        <w:pStyle w:val="0"/>
      </w:pPr>
    </w:p>
    <w:p w14:paraId="411045EE" w14:textId="77777777" w:rsidR="009967D1" w:rsidRDefault="0080134E">
      <w:pPr>
        <w:widowControl/>
        <w:jc w:val="left"/>
      </w:pPr>
      <w:r>
        <w:br w:type="page"/>
      </w:r>
    </w:p>
    <w:p w14:paraId="28577F93"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0"/>
        <w:gridCol w:w="387"/>
        <w:gridCol w:w="1953"/>
        <w:gridCol w:w="1599"/>
        <w:gridCol w:w="49"/>
        <w:gridCol w:w="795"/>
        <w:gridCol w:w="27"/>
        <w:gridCol w:w="642"/>
        <w:gridCol w:w="1191"/>
        <w:gridCol w:w="633"/>
        <w:gridCol w:w="687"/>
      </w:tblGrid>
      <w:tr w:rsidR="009967D1" w14:paraId="1236B5EB" w14:textId="77777777">
        <w:trPr>
          <w:trHeight w:val="839"/>
          <w:jc w:val="center"/>
        </w:trPr>
        <w:tc>
          <w:tcPr>
            <w:tcW w:w="1150" w:type="dxa"/>
            <w:tcBorders>
              <w:top w:val="single" w:sz="4" w:space="0" w:color="auto"/>
              <w:bottom w:val="single" w:sz="4" w:space="0" w:color="auto"/>
            </w:tcBorders>
            <w:vAlign w:val="center"/>
          </w:tcPr>
          <w:p w14:paraId="3FC5E22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2581AB0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7A8B734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52D3348D"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0B93EE8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45315FD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1C3B0D8C" w14:textId="77777777">
        <w:trPr>
          <w:trHeight w:val="1111"/>
          <w:jc w:val="center"/>
        </w:trPr>
        <w:tc>
          <w:tcPr>
            <w:tcW w:w="9653" w:type="dxa"/>
            <w:gridSpan w:val="11"/>
            <w:tcBorders>
              <w:top w:val="single" w:sz="4" w:space="0" w:color="auto"/>
              <w:bottom w:val="single" w:sz="4" w:space="0" w:color="auto"/>
            </w:tcBorders>
            <w:vAlign w:val="center"/>
          </w:tcPr>
          <w:p w14:paraId="57EDA0AE" w14:textId="6FA53366" w:rsidR="009967D1" w:rsidRDefault="000204CB">
            <w:pPr>
              <w:spacing w:line="400" w:lineRule="exact"/>
              <w:jc w:val="center"/>
              <w:rPr>
                <w:b/>
                <w:bCs/>
                <w:color w:val="323E4F" w:themeColor="text2" w:themeShade="BF"/>
                <w:sz w:val="32"/>
                <w:szCs w:val="32"/>
              </w:rPr>
            </w:pPr>
            <w:r>
              <w:rPr>
                <w:b/>
                <w:bCs/>
                <w:color w:val="323E4F" w:themeColor="text2" w:themeShade="BF"/>
                <w:sz w:val="32"/>
                <w:szCs w:val="32"/>
              </w:rPr>
              <w:t>T</w:t>
            </w:r>
            <w:r w:rsidR="0080134E">
              <w:rPr>
                <w:rFonts w:hint="eastAsia"/>
                <w:b/>
                <w:bCs/>
                <w:color w:val="323E4F" w:themeColor="text2" w:themeShade="BF"/>
                <w:sz w:val="32"/>
                <w:szCs w:val="32"/>
              </w:rPr>
              <w:t>hromboembolism</w:t>
            </w:r>
          </w:p>
          <w:p w14:paraId="523A28C6"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心脑血管风险因子</w:t>
            </w:r>
          </w:p>
        </w:tc>
      </w:tr>
      <w:tr w:rsidR="009967D1" w14:paraId="75A562FF" w14:textId="77777777">
        <w:trPr>
          <w:trHeight w:hRule="exact" w:val="113"/>
          <w:jc w:val="center"/>
        </w:trPr>
        <w:tc>
          <w:tcPr>
            <w:tcW w:w="1560" w:type="dxa"/>
            <w:gridSpan w:val="2"/>
            <w:tcBorders>
              <w:top w:val="single" w:sz="4" w:space="0" w:color="auto"/>
            </w:tcBorders>
            <w:vAlign w:val="center"/>
          </w:tcPr>
          <w:p w14:paraId="208370A1"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D848FE0"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19077D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E52497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5DA7788"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92899EA" w14:textId="77777777" w:rsidR="009967D1" w:rsidRDefault="009967D1">
            <w:pPr>
              <w:spacing w:line="300" w:lineRule="exact"/>
              <w:jc w:val="right"/>
              <w:rPr>
                <w:color w:val="323E4F" w:themeColor="text2" w:themeShade="BF"/>
                <w:sz w:val="2"/>
                <w:szCs w:val="2"/>
              </w:rPr>
            </w:pPr>
          </w:p>
        </w:tc>
      </w:tr>
      <w:tr w:rsidR="009967D1" w14:paraId="264AD4CC" w14:textId="77777777">
        <w:trPr>
          <w:trHeight w:val="432"/>
          <w:jc w:val="center"/>
        </w:trPr>
        <w:tc>
          <w:tcPr>
            <w:tcW w:w="1150" w:type="dxa"/>
            <w:vAlign w:val="center"/>
          </w:tcPr>
          <w:p w14:paraId="64D3CB4B" w14:textId="77777777" w:rsidR="009967D1" w:rsidRDefault="0080134E">
            <w:pPr>
              <w:spacing w:line="400" w:lineRule="exact"/>
              <w:jc w:val="center"/>
              <w:rPr>
                <w:b/>
                <w:bCs/>
                <w:color w:val="000000" w:themeColor="text1"/>
                <w:sz w:val="24"/>
              </w:rPr>
            </w:pPr>
            <w:r>
              <w:rPr>
                <w:rFonts w:hint="eastAsia"/>
                <w:b/>
                <w:bCs/>
                <w:color w:val="000000" w:themeColor="text1"/>
                <w:sz w:val="24"/>
              </w:rPr>
              <w:t>Homocysteine</w:t>
            </w:r>
          </w:p>
        </w:tc>
        <w:tc>
          <w:tcPr>
            <w:tcW w:w="2536" w:type="dxa"/>
            <w:gridSpan w:val="2"/>
            <w:vAlign w:val="center"/>
          </w:tcPr>
          <w:p w14:paraId="2C2AE36D" w14:textId="77777777" w:rsidR="009967D1" w:rsidRDefault="0080134E">
            <w:pPr>
              <w:spacing w:line="400" w:lineRule="exact"/>
              <w:jc w:val="center"/>
              <w:rPr>
                <w:b/>
                <w:bCs/>
                <w:color w:val="000000" w:themeColor="text1"/>
                <w:sz w:val="24"/>
              </w:rPr>
            </w:pPr>
            <w:r>
              <w:rPr>
                <w:rFonts w:hint="eastAsia"/>
                <w:b/>
                <w:bCs/>
                <w:color w:val="000000" w:themeColor="text1"/>
                <w:sz w:val="24"/>
              </w:rPr>
              <w:t>同型半胱氨酸</w:t>
            </w:r>
          </w:p>
        </w:tc>
        <w:tc>
          <w:tcPr>
            <w:tcW w:w="1754" w:type="dxa"/>
            <w:gridSpan w:val="2"/>
            <w:vAlign w:val="center"/>
          </w:tcPr>
          <w:p w14:paraId="046384A6" w14:textId="77777777" w:rsidR="009967D1" w:rsidRDefault="009967D1">
            <w:pPr>
              <w:spacing w:line="400" w:lineRule="exact"/>
              <w:jc w:val="center"/>
              <w:rPr>
                <w:b/>
                <w:bCs/>
                <w:color w:val="000000" w:themeColor="text1"/>
                <w:sz w:val="24"/>
              </w:rPr>
            </w:pPr>
          </w:p>
        </w:tc>
        <w:tc>
          <w:tcPr>
            <w:tcW w:w="825" w:type="dxa"/>
            <w:gridSpan w:val="2"/>
            <w:vAlign w:val="center"/>
          </w:tcPr>
          <w:p w14:paraId="78E482AF" w14:textId="77777777" w:rsidR="009967D1" w:rsidRDefault="009967D1">
            <w:pPr>
              <w:spacing w:line="400" w:lineRule="exact"/>
              <w:jc w:val="center"/>
              <w:rPr>
                <w:b/>
                <w:bCs/>
                <w:color w:val="000000" w:themeColor="text1"/>
                <w:sz w:val="24"/>
              </w:rPr>
            </w:pPr>
          </w:p>
        </w:tc>
        <w:tc>
          <w:tcPr>
            <w:tcW w:w="1980" w:type="dxa"/>
            <w:gridSpan w:val="2"/>
            <w:vAlign w:val="center"/>
          </w:tcPr>
          <w:p w14:paraId="71765E1F" w14:textId="77777777" w:rsidR="009967D1" w:rsidRDefault="009967D1">
            <w:pPr>
              <w:spacing w:line="400" w:lineRule="exact"/>
              <w:jc w:val="center"/>
              <w:rPr>
                <w:b/>
                <w:bCs/>
                <w:color w:val="000000" w:themeColor="text1"/>
                <w:sz w:val="24"/>
              </w:rPr>
            </w:pPr>
          </w:p>
        </w:tc>
        <w:tc>
          <w:tcPr>
            <w:tcW w:w="1408" w:type="dxa"/>
            <w:gridSpan w:val="2"/>
            <w:vAlign w:val="center"/>
          </w:tcPr>
          <w:p w14:paraId="6505B057" w14:textId="77777777" w:rsidR="009967D1" w:rsidRDefault="009967D1">
            <w:pPr>
              <w:spacing w:line="400" w:lineRule="exact"/>
              <w:jc w:val="center"/>
              <w:rPr>
                <w:b/>
                <w:bCs/>
                <w:color w:val="000000" w:themeColor="text1"/>
                <w:sz w:val="24"/>
              </w:rPr>
            </w:pPr>
          </w:p>
        </w:tc>
      </w:tr>
      <w:tr w:rsidR="009967D1" w14:paraId="4D0CF169" w14:textId="77777777">
        <w:trPr>
          <w:trHeight w:val="1651"/>
          <w:jc w:val="center"/>
        </w:trPr>
        <w:tc>
          <w:tcPr>
            <w:tcW w:w="9653" w:type="dxa"/>
            <w:gridSpan w:val="11"/>
            <w:vAlign w:val="center"/>
          </w:tcPr>
          <w:p w14:paraId="1FD24BC3" w14:textId="77777777" w:rsidR="009967D1" w:rsidRDefault="009967D1"/>
          <w:p w14:paraId="61B12D69" w14:textId="77777777" w:rsidR="009967D1" w:rsidRDefault="0080134E">
            <w:r>
              <w:rPr>
                <w:b/>
                <w:bCs/>
              </w:rPr>
              <w:t>Clinical Significance:</w:t>
            </w:r>
            <w:r>
              <w:t xml:space="preserve"> An independent risk factor for cardiovascular and cerebrovascular diseases, elevation increases the risk of atherosclerosis, cerebral infarction, and coronary heart disease. Normal reference value: 5 - 15μmol/L.</w:t>
            </w:r>
          </w:p>
          <w:p w14:paraId="65281079" w14:textId="77777777" w:rsidR="009967D1" w:rsidRDefault="0080134E">
            <w:r>
              <w:rPr>
                <w:b/>
                <w:bCs/>
              </w:rPr>
              <w:t>临床意义：</w:t>
            </w:r>
            <w:r>
              <w:t>心脑血管疾病独立危险因素，升高增加动脉粥样硬化、脑梗死、冠心病风险，正常参考值5-15μmol/L。</w:t>
            </w:r>
          </w:p>
        </w:tc>
      </w:tr>
    </w:tbl>
    <w:p w14:paraId="049621DD" w14:textId="77777777" w:rsidR="009967D1" w:rsidRDefault="009967D1" w:rsidP="004619DA">
      <w:pPr>
        <w:pStyle w:val="0"/>
      </w:pPr>
    </w:p>
    <w:p w14:paraId="0E9DD12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E25EDF1" w14:textId="77777777">
        <w:trPr>
          <w:trHeight w:hRule="exact" w:val="113"/>
          <w:jc w:val="center"/>
        </w:trPr>
        <w:tc>
          <w:tcPr>
            <w:tcW w:w="1560" w:type="dxa"/>
            <w:gridSpan w:val="2"/>
            <w:tcBorders>
              <w:top w:val="single" w:sz="4" w:space="0" w:color="auto"/>
            </w:tcBorders>
            <w:vAlign w:val="center"/>
          </w:tcPr>
          <w:p w14:paraId="576DDC5F"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CAC177B"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10DA3E5"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3557CB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19DF08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321AE3C" w14:textId="77777777" w:rsidR="009967D1" w:rsidRDefault="009967D1">
            <w:pPr>
              <w:spacing w:line="300" w:lineRule="exact"/>
              <w:jc w:val="right"/>
              <w:rPr>
                <w:color w:val="323E4F" w:themeColor="text2" w:themeShade="BF"/>
                <w:sz w:val="2"/>
                <w:szCs w:val="2"/>
              </w:rPr>
            </w:pPr>
          </w:p>
        </w:tc>
      </w:tr>
      <w:tr w:rsidR="009967D1" w14:paraId="69801A94" w14:textId="77777777">
        <w:trPr>
          <w:trHeight w:val="432"/>
          <w:jc w:val="center"/>
        </w:trPr>
        <w:tc>
          <w:tcPr>
            <w:tcW w:w="1150" w:type="dxa"/>
            <w:vAlign w:val="center"/>
          </w:tcPr>
          <w:p w14:paraId="50260E98" w14:textId="77777777" w:rsidR="009967D1" w:rsidRDefault="0080134E">
            <w:pPr>
              <w:spacing w:line="400" w:lineRule="exact"/>
              <w:jc w:val="center"/>
              <w:rPr>
                <w:b/>
                <w:bCs/>
                <w:color w:val="000000" w:themeColor="text1"/>
                <w:sz w:val="24"/>
              </w:rPr>
            </w:pPr>
            <w:r>
              <w:rPr>
                <w:rFonts w:hint="eastAsia"/>
                <w:b/>
                <w:bCs/>
                <w:color w:val="000000" w:themeColor="text1"/>
                <w:sz w:val="24"/>
              </w:rPr>
              <w:t>D - Dimer</w:t>
            </w:r>
          </w:p>
        </w:tc>
        <w:tc>
          <w:tcPr>
            <w:tcW w:w="2536" w:type="dxa"/>
            <w:gridSpan w:val="2"/>
            <w:vAlign w:val="center"/>
          </w:tcPr>
          <w:p w14:paraId="5F0AB81B" w14:textId="77777777" w:rsidR="009967D1" w:rsidRDefault="0080134E">
            <w:pPr>
              <w:spacing w:line="400" w:lineRule="exact"/>
              <w:jc w:val="center"/>
              <w:rPr>
                <w:b/>
                <w:bCs/>
                <w:color w:val="000000" w:themeColor="text1"/>
                <w:sz w:val="24"/>
              </w:rPr>
            </w:pPr>
            <w:r>
              <w:rPr>
                <w:rFonts w:hint="eastAsia"/>
                <w:b/>
                <w:bCs/>
                <w:color w:val="000000" w:themeColor="text1"/>
                <w:sz w:val="24"/>
              </w:rPr>
              <w:t>D - 二聚体</w:t>
            </w:r>
          </w:p>
        </w:tc>
        <w:tc>
          <w:tcPr>
            <w:tcW w:w="1754" w:type="dxa"/>
            <w:gridSpan w:val="2"/>
            <w:vAlign w:val="center"/>
          </w:tcPr>
          <w:p w14:paraId="3945CA50" w14:textId="77777777" w:rsidR="009967D1" w:rsidRDefault="009967D1">
            <w:pPr>
              <w:spacing w:line="400" w:lineRule="exact"/>
              <w:jc w:val="center"/>
              <w:rPr>
                <w:b/>
                <w:bCs/>
                <w:color w:val="000000" w:themeColor="text1"/>
                <w:sz w:val="24"/>
              </w:rPr>
            </w:pPr>
          </w:p>
        </w:tc>
        <w:tc>
          <w:tcPr>
            <w:tcW w:w="825" w:type="dxa"/>
            <w:gridSpan w:val="2"/>
            <w:vAlign w:val="center"/>
          </w:tcPr>
          <w:p w14:paraId="456F251F" w14:textId="77777777" w:rsidR="009967D1" w:rsidRDefault="009967D1">
            <w:pPr>
              <w:spacing w:line="400" w:lineRule="exact"/>
              <w:jc w:val="center"/>
              <w:rPr>
                <w:b/>
                <w:bCs/>
                <w:color w:val="000000" w:themeColor="text1"/>
                <w:sz w:val="24"/>
              </w:rPr>
            </w:pPr>
          </w:p>
        </w:tc>
        <w:tc>
          <w:tcPr>
            <w:tcW w:w="1980" w:type="dxa"/>
            <w:gridSpan w:val="2"/>
            <w:vAlign w:val="center"/>
          </w:tcPr>
          <w:p w14:paraId="53EFE9BB" w14:textId="77777777" w:rsidR="009967D1" w:rsidRDefault="009967D1">
            <w:pPr>
              <w:spacing w:line="400" w:lineRule="exact"/>
              <w:jc w:val="center"/>
              <w:rPr>
                <w:b/>
                <w:bCs/>
                <w:color w:val="000000" w:themeColor="text1"/>
                <w:sz w:val="24"/>
              </w:rPr>
            </w:pPr>
          </w:p>
        </w:tc>
        <w:tc>
          <w:tcPr>
            <w:tcW w:w="1408" w:type="dxa"/>
            <w:gridSpan w:val="2"/>
            <w:vAlign w:val="center"/>
          </w:tcPr>
          <w:p w14:paraId="35E6921C" w14:textId="77777777" w:rsidR="009967D1" w:rsidRDefault="009967D1">
            <w:pPr>
              <w:spacing w:line="400" w:lineRule="exact"/>
              <w:jc w:val="center"/>
              <w:rPr>
                <w:b/>
                <w:bCs/>
                <w:color w:val="000000" w:themeColor="text1"/>
                <w:sz w:val="24"/>
              </w:rPr>
            </w:pPr>
          </w:p>
        </w:tc>
      </w:tr>
      <w:tr w:rsidR="009967D1" w14:paraId="68F4CDBB" w14:textId="77777777">
        <w:trPr>
          <w:trHeight w:val="1651"/>
          <w:jc w:val="center"/>
        </w:trPr>
        <w:tc>
          <w:tcPr>
            <w:tcW w:w="9653" w:type="dxa"/>
            <w:gridSpan w:val="11"/>
            <w:vAlign w:val="center"/>
          </w:tcPr>
          <w:p w14:paraId="72889ADF" w14:textId="77777777" w:rsidR="009967D1" w:rsidRDefault="009967D1"/>
          <w:p w14:paraId="7DAA478E" w14:textId="77777777" w:rsidR="009967D1" w:rsidRDefault="0080134E">
            <w:r>
              <w:rPr>
                <w:b/>
                <w:bCs/>
              </w:rPr>
              <w:t>Clinical Significance:</w:t>
            </w:r>
            <w:r>
              <w:t xml:space="preserve"> (mentioned in the four coagulation items above, focusing on cardiovascular and cerebrovascular risks here) Reflects the body's coagulation and fibrinolytic activity, assisting in the diagnosis of pulmonary embolism, deep vein thrombosis, etc. The normal reference value is &lt; 0.5mg/L (ELISA method).</w:t>
            </w:r>
          </w:p>
          <w:p w14:paraId="08881E08" w14:textId="53322D91" w:rsidR="009967D1" w:rsidRDefault="0080134E">
            <w:r>
              <w:rPr>
                <w:b/>
                <w:bCs/>
              </w:rPr>
              <w:t>临床意义：</w:t>
            </w:r>
            <w:r>
              <w:t>反映体内凝血和纤溶活性，辅助诊断肺栓塞、深静脉血栓等，正常参考值＜0.5mg/L。</w:t>
            </w:r>
          </w:p>
        </w:tc>
      </w:tr>
    </w:tbl>
    <w:p w14:paraId="12855AF3"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31E1D820" w14:textId="65C90FBD" w:rsidR="009967D1" w:rsidRDefault="00B46AA1" w:rsidP="00B46AA1">
      <w:pPr>
        <w:pStyle w:val="3-"/>
      </w:pPr>
      <w:r>
        <w:lastRenderedPageBreak/>
        <w:t>Bone M</w:t>
      </w:r>
      <w:r w:rsidRPr="00B46AA1">
        <w:t>etabolism</w:t>
      </w:r>
      <w:r>
        <w:br/>
      </w:r>
      <w:r w:rsidR="0080134E">
        <w:rPr>
          <w:rFonts w:hint="eastAsia"/>
        </w:rPr>
        <w:t>骨代谢</w:t>
      </w:r>
    </w:p>
    <w:p w14:paraId="248960C6" w14:textId="77777777" w:rsidR="00B46AA1" w:rsidRDefault="00B46AA1" w:rsidP="00B46AA1">
      <w:pPr>
        <w:pStyle w:val="0"/>
      </w:pPr>
    </w:p>
    <w:p w14:paraId="261D7F2A" w14:textId="1B8146A8" w:rsidR="00B46AA1" w:rsidRDefault="00B46AA1" w:rsidP="00B46AA1">
      <w:pPr>
        <w:pStyle w:val="00"/>
      </w:pPr>
      <w:r w:rsidRPr="00B46AA1">
        <w:t>Bone metabolism testing is a crucial laboratory evaluation for assessing skeletal health and metabolic balance. Key indicators include 25-hydroxy vitamin D2+D3 (25-OH-VD2+D3), parathyroid hormone (PTH), osteocalcin (OST), total type I procollagen N-terminal propeptide (TPINP), and β-CrossLaps (β-CTX). These parameters collectively assess the dynamic processes of bone formation and resorption, helping identify early risks of osteoporosis, osteomalacia, and other metabolic bone disorders.</w:t>
      </w:r>
    </w:p>
    <w:p w14:paraId="3DDE6061" w14:textId="7B0A66C6" w:rsidR="00B46AA1" w:rsidRDefault="00B46AA1" w:rsidP="00B46AA1">
      <w:pPr>
        <w:pStyle w:val="0"/>
      </w:pPr>
      <w:r>
        <w:t>骨代谢检测是评估骨骼健康与代谢平衡的重要实验室检查，主要包括</w:t>
      </w:r>
      <w:r>
        <w:t>25-</w:t>
      </w:r>
      <w:r>
        <w:t>羟基维生素</w:t>
      </w:r>
      <w:r>
        <w:t>D2+D3</w:t>
      </w:r>
      <w:r>
        <w:t>（</w:t>
      </w:r>
      <w:r>
        <w:t>25-OH-VD2+D3</w:t>
      </w:r>
      <w:r>
        <w:t>）、甲状旁腺激素（</w:t>
      </w:r>
      <w:r>
        <w:t>PTH</w:t>
      </w:r>
      <w:r>
        <w:t>）、骨钙素（</w:t>
      </w:r>
      <w:r>
        <w:t>OST</w:t>
      </w:r>
      <w:r>
        <w:t>）、总</w:t>
      </w:r>
      <w:r>
        <w:t>Ⅰ</w:t>
      </w:r>
      <w:r>
        <w:t>型胶原氨基端延长肽（</w:t>
      </w:r>
      <w:r>
        <w:t>TPINP</w:t>
      </w:r>
      <w:r>
        <w:t>）、</w:t>
      </w:r>
      <w:r>
        <w:t>β-</w:t>
      </w:r>
      <w:r>
        <w:t>胶原降解产物（</w:t>
      </w:r>
      <w:r>
        <w:t>β-CTX</w:t>
      </w:r>
      <w:r>
        <w:t>）等指标。该检测通过综合评估骨形成与骨吸收的动态过程，帮助判断骨代谢是否正常，从而发现骨质疏松、骨软化症以及其他代谢性骨病的早期风险。</w:t>
      </w:r>
    </w:p>
    <w:p w14:paraId="172430F3" w14:textId="039E3F45" w:rsidR="00B46AA1" w:rsidRDefault="00B46AA1" w:rsidP="00B46AA1">
      <w:pPr>
        <w:pStyle w:val="00"/>
      </w:pPr>
      <w:r w:rsidRPr="00B46AA1">
        <w:t>25-hydroxy vitamin D is the major circulating form of vitamin D and plays a fundamental role in calcium and phosphorus absorption and bone mineralization. PTH regulates calcium-phosphorus metabolism and bone resorption, serving as a key hormonal regulator of skeletal homeostasis. Osteocalcin (OST) reflects bone formation activity, with elevated levels indicating increased osteoblastic activity. TPINP is a marker of type I collagen synthesis and a sensitive indicator of bone formation, while β-CTX represents collagen degradation products and serves as a marker of bone resorption. The combined interpretation of bone formation and resorption markers enables a comprehensive evaluation of bone remodeling balance.</w:t>
      </w:r>
    </w:p>
    <w:p w14:paraId="6276873C" w14:textId="0FE23A6A" w:rsidR="00B46AA1" w:rsidRDefault="00B46AA1" w:rsidP="00B46AA1">
      <w:pPr>
        <w:pStyle w:val="0"/>
      </w:pPr>
      <w:r>
        <w:t>25-</w:t>
      </w:r>
      <w:r>
        <w:t>羟基维生素</w:t>
      </w:r>
      <w:r>
        <w:t>D</w:t>
      </w:r>
      <w:r>
        <w:t>是机体维生素</w:t>
      </w:r>
      <w:r>
        <w:t>D</w:t>
      </w:r>
      <w:r>
        <w:t>储备的主要形式，决定钙、磷吸收及骨矿化过程，是骨骼健康的基础。</w:t>
      </w:r>
      <w:r>
        <w:t>PTH</w:t>
      </w:r>
      <w:r>
        <w:t>（甲状旁腺激素）调节钙磷代谢与骨吸收，是骨代谢稳态的重要调控因子。骨钙素（</w:t>
      </w:r>
      <w:r>
        <w:t>OST</w:t>
      </w:r>
      <w:r>
        <w:t>）反映骨形成活性，水平升高提示成骨细胞代谢增强。</w:t>
      </w:r>
      <w:r>
        <w:t>TPINP</w:t>
      </w:r>
      <w:r>
        <w:t>是</w:t>
      </w:r>
      <w:r>
        <w:t>Ⅰ</w:t>
      </w:r>
      <w:r>
        <w:t>型胶原合成的标志物，是评价骨形成的敏感指标，而</w:t>
      </w:r>
      <w:r>
        <w:t>β-CTX</w:t>
      </w:r>
      <w:r>
        <w:t>则代表骨胶原分解产物，能够反映骨吸收水平。通过</w:t>
      </w:r>
      <w:r>
        <w:t>“</w:t>
      </w:r>
      <w:r>
        <w:t>骨形成指标</w:t>
      </w:r>
      <w:r>
        <w:t>+</w:t>
      </w:r>
      <w:r>
        <w:t>骨吸收指标</w:t>
      </w:r>
      <w:r>
        <w:t>”</w:t>
      </w:r>
      <w:r>
        <w:t>的综合解读，可以动态评估骨重建平衡。</w:t>
      </w:r>
    </w:p>
    <w:p w14:paraId="782EE209" w14:textId="19288038" w:rsidR="00B46AA1" w:rsidRDefault="00B46AA1" w:rsidP="00B46AA1">
      <w:pPr>
        <w:pStyle w:val="00"/>
      </w:pPr>
      <w:r w:rsidRPr="00B46AA1">
        <w:t>In preventive healthcare, bone metabolism testing provides significant value for early detection of osteoporosis and reduced bone mass, as well as for monitoring vitamin D deficiency, calcium-phosphorus imbalance, and endocrine-related effects on bone. It is particularly important for postmenopausal women, the elderly, individuals with sedentary lifestyles, malnutrition, chronic kidney disease, or long-term corticosteroid use. Regular monitoring helps guide personalized interventions in nutrition, exercise, and medication to maintain bone strength and prevent fractures.</w:t>
      </w:r>
    </w:p>
    <w:p w14:paraId="503C239F" w14:textId="2DC7D2DA" w:rsidR="00B46AA1" w:rsidRDefault="00B46AA1" w:rsidP="00B46AA1">
      <w:pPr>
        <w:pStyle w:val="0"/>
      </w:pPr>
      <w:r>
        <w:t>在健康管理中，骨代谢检测具有重要的预防与干预价值。它不仅能帮助早期发现骨质疏松和骨量减少，还可用于监测维生素</w:t>
      </w:r>
      <w:r>
        <w:t>D</w:t>
      </w:r>
      <w:r>
        <w:t>缺乏、钙磷代谢紊乱以及内分泌疾病对骨骼的影响。对于更年期女性、老年人、长期缺乏运动、营养不良、慢性肾病或长期使用糖皮质激素的人群，定期骨代谢监测尤为重要，可用于制定个性化的营养、运动及药物干预方案。</w:t>
      </w:r>
    </w:p>
    <w:p w14:paraId="69E2E8BF" w14:textId="1584EACF" w:rsidR="00B46AA1" w:rsidRPr="00B46AA1" w:rsidRDefault="00272239" w:rsidP="00B46AA1">
      <w:pPr>
        <w:pStyle w:val="0"/>
      </w:pPr>
      <w:r w:rsidRPr="009E1205">
        <w:rPr>
          <w:noProof/>
        </w:rPr>
        <w:drawing>
          <wp:anchor distT="0" distB="0" distL="114300" distR="114300" simplePos="0" relativeHeight="251688960" behindDoc="0" locked="0" layoutInCell="1" allowOverlap="1" wp14:anchorId="2730D3ED" wp14:editId="7A475508">
            <wp:simplePos x="0" y="0"/>
            <wp:positionH relativeFrom="column">
              <wp:posOffset>1857</wp:posOffset>
            </wp:positionH>
            <wp:positionV relativeFrom="paragraph">
              <wp:posOffset>-1238</wp:posOffset>
            </wp:positionV>
            <wp:extent cx="6080125" cy="1706245"/>
            <wp:effectExtent l="0" t="0" r="0" b="0"/>
            <wp:wrapNone/>
            <wp:docPr id="18443844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384467" name="图片 1"/>
                    <pic:cNvPicPr/>
                  </pic:nvPicPr>
                  <pic:blipFill rotWithShape="1">
                    <a:blip r:embed="rId26">
                      <a:extLst>
                        <a:ext uri="{28A0092B-C50C-407E-A947-70E740481C1C}">
                          <a14:useLocalDpi xmlns:a14="http://schemas.microsoft.com/office/drawing/2010/main" val="0"/>
                        </a:ext>
                      </a:extLst>
                    </a:blip>
                    <a:srcRect t="35581" b="23311"/>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02D0078" w14:textId="77777777" w:rsidR="009967D1" w:rsidRDefault="0080134E">
      <w:pPr>
        <w:widowControl/>
        <w:jc w:val="left"/>
      </w:pPr>
      <w:r>
        <w:br w:type="page"/>
      </w:r>
    </w:p>
    <w:p w14:paraId="1977C1F4"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6"/>
        <w:gridCol w:w="409"/>
        <w:gridCol w:w="2121"/>
        <w:gridCol w:w="1698"/>
        <w:gridCol w:w="53"/>
        <w:gridCol w:w="797"/>
        <w:gridCol w:w="28"/>
        <w:gridCol w:w="680"/>
        <w:gridCol w:w="1296"/>
        <w:gridCol w:w="684"/>
        <w:gridCol w:w="721"/>
      </w:tblGrid>
      <w:tr w:rsidR="009967D1" w14:paraId="2E365081" w14:textId="77777777">
        <w:trPr>
          <w:trHeight w:val="839"/>
          <w:jc w:val="center"/>
        </w:trPr>
        <w:tc>
          <w:tcPr>
            <w:tcW w:w="1150" w:type="dxa"/>
            <w:tcBorders>
              <w:top w:val="single" w:sz="4" w:space="0" w:color="auto"/>
              <w:bottom w:val="single" w:sz="4" w:space="0" w:color="auto"/>
            </w:tcBorders>
            <w:vAlign w:val="center"/>
          </w:tcPr>
          <w:p w14:paraId="2258769F"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36CB8874"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393EAA0D"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340E7B62"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2AA01D1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5B88E7ED"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5123CCC4" w14:textId="77777777">
        <w:trPr>
          <w:trHeight w:val="1111"/>
          <w:jc w:val="center"/>
        </w:trPr>
        <w:tc>
          <w:tcPr>
            <w:tcW w:w="9653" w:type="dxa"/>
            <w:gridSpan w:val="11"/>
            <w:tcBorders>
              <w:top w:val="single" w:sz="4" w:space="0" w:color="auto"/>
              <w:bottom w:val="single" w:sz="4" w:space="0" w:color="auto"/>
            </w:tcBorders>
            <w:vAlign w:val="center"/>
          </w:tcPr>
          <w:p w14:paraId="74BB43CB" w14:textId="24808669"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Bone </w:t>
            </w:r>
            <w:r w:rsidR="00D758D1">
              <w:rPr>
                <w:b/>
                <w:bCs/>
                <w:color w:val="323E4F" w:themeColor="text2" w:themeShade="BF"/>
                <w:sz w:val="32"/>
                <w:szCs w:val="32"/>
              </w:rPr>
              <w:t>M</w:t>
            </w:r>
            <w:r>
              <w:rPr>
                <w:rFonts w:hint="eastAsia"/>
                <w:b/>
                <w:bCs/>
                <w:color w:val="323E4F" w:themeColor="text2" w:themeShade="BF"/>
                <w:sz w:val="32"/>
                <w:szCs w:val="32"/>
              </w:rPr>
              <w:t>etabolism</w:t>
            </w:r>
          </w:p>
          <w:p w14:paraId="4F24C845"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骨代谢</w:t>
            </w:r>
          </w:p>
        </w:tc>
      </w:tr>
      <w:tr w:rsidR="009967D1" w14:paraId="1C2B8CCA" w14:textId="77777777">
        <w:trPr>
          <w:trHeight w:hRule="exact" w:val="113"/>
          <w:jc w:val="center"/>
        </w:trPr>
        <w:tc>
          <w:tcPr>
            <w:tcW w:w="1560" w:type="dxa"/>
            <w:gridSpan w:val="2"/>
            <w:tcBorders>
              <w:top w:val="single" w:sz="4" w:space="0" w:color="auto"/>
            </w:tcBorders>
            <w:vAlign w:val="center"/>
          </w:tcPr>
          <w:p w14:paraId="657362E7"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6A620BF"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E42F74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A157253"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3CFCD0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5F8FDC0" w14:textId="77777777" w:rsidR="009967D1" w:rsidRDefault="009967D1">
            <w:pPr>
              <w:spacing w:line="300" w:lineRule="exact"/>
              <w:jc w:val="right"/>
              <w:rPr>
                <w:color w:val="323E4F" w:themeColor="text2" w:themeShade="BF"/>
                <w:sz w:val="2"/>
                <w:szCs w:val="2"/>
              </w:rPr>
            </w:pPr>
          </w:p>
        </w:tc>
      </w:tr>
      <w:tr w:rsidR="009967D1" w14:paraId="7E96CE8F" w14:textId="77777777">
        <w:trPr>
          <w:trHeight w:val="432"/>
          <w:jc w:val="center"/>
        </w:trPr>
        <w:tc>
          <w:tcPr>
            <w:tcW w:w="1150" w:type="dxa"/>
            <w:vAlign w:val="center"/>
          </w:tcPr>
          <w:p w14:paraId="4DC4D349" w14:textId="77777777" w:rsidR="009967D1" w:rsidRPr="00071355" w:rsidRDefault="0080134E">
            <w:pPr>
              <w:spacing w:line="400" w:lineRule="exact"/>
              <w:jc w:val="center"/>
              <w:rPr>
                <w:b/>
                <w:bCs/>
                <w:color w:val="000000" w:themeColor="text1"/>
                <w:sz w:val="24"/>
              </w:rPr>
            </w:pPr>
            <w:r w:rsidRPr="00071355">
              <w:rPr>
                <w:rFonts w:hint="eastAsia"/>
                <w:b/>
                <w:bCs/>
                <w:color w:val="000000" w:themeColor="text1"/>
                <w:sz w:val="24"/>
              </w:rPr>
              <w:t>25-OH-VD2+D3</w:t>
            </w:r>
          </w:p>
        </w:tc>
        <w:tc>
          <w:tcPr>
            <w:tcW w:w="2536" w:type="dxa"/>
            <w:gridSpan w:val="2"/>
            <w:vAlign w:val="center"/>
          </w:tcPr>
          <w:p w14:paraId="12EA7050" w14:textId="77777777" w:rsidR="009967D1" w:rsidRPr="00071355" w:rsidRDefault="0080134E">
            <w:pPr>
              <w:spacing w:line="400" w:lineRule="exact"/>
              <w:jc w:val="center"/>
              <w:rPr>
                <w:b/>
                <w:bCs/>
                <w:color w:val="000000" w:themeColor="text1"/>
                <w:sz w:val="24"/>
              </w:rPr>
            </w:pPr>
            <w:r w:rsidRPr="00071355">
              <w:rPr>
                <w:rFonts w:hint="eastAsia"/>
                <w:b/>
                <w:bCs/>
                <w:color w:val="000000" w:themeColor="text1"/>
                <w:sz w:val="24"/>
              </w:rPr>
              <w:t>25-羟基维生素D2+D3</w:t>
            </w:r>
          </w:p>
        </w:tc>
        <w:tc>
          <w:tcPr>
            <w:tcW w:w="1754" w:type="dxa"/>
            <w:gridSpan w:val="2"/>
            <w:vAlign w:val="center"/>
          </w:tcPr>
          <w:p w14:paraId="46E369E7" w14:textId="77777777" w:rsidR="009967D1" w:rsidRDefault="009967D1">
            <w:pPr>
              <w:spacing w:line="400" w:lineRule="exact"/>
              <w:jc w:val="center"/>
              <w:rPr>
                <w:b/>
                <w:bCs/>
                <w:color w:val="000000" w:themeColor="text1"/>
                <w:sz w:val="24"/>
              </w:rPr>
            </w:pPr>
          </w:p>
        </w:tc>
        <w:tc>
          <w:tcPr>
            <w:tcW w:w="825" w:type="dxa"/>
            <w:gridSpan w:val="2"/>
            <w:vAlign w:val="center"/>
          </w:tcPr>
          <w:p w14:paraId="1D62AFA4" w14:textId="77777777" w:rsidR="009967D1" w:rsidRDefault="009967D1">
            <w:pPr>
              <w:spacing w:line="400" w:lineRule="exact"/>
              <w:jc w:val="center"/>
              <w:rPr>
                <w:b/>
                <w:bCs/>
                <w:color w:val="000000" w:themeColor="text1"/>
                <w:sz w:val="24"/>
              </w:rPr>
            </w:pPr>
          </w:p>
        </w:tc>
        <w:tc>
          <w:tcPr>
            <w:tcW w:w="1980" w:type="dxa"/>
            <w:gridSpan w:val="2"/>
            <w:vAlign w:val="center"/>
          </w:tcPr>
          <w:p w14:paraId="6DF8EF8E" w14:textId="77777777" w:rsidR="009967D1" w:rsidRDefault="009967D1">
            <w:pPr>
              <w:spacing w:line="400" w:lineRule="exact"/>
              <w:jc w:val="center"/>
              <w:rPr>
                <w:b/>
                <w:bCs/>
                <w:color w:val="000000" w:themeColor="text1"/>
                <w:sz w:val="24"/>
              </w:rPr>
            </w:pPr>
          </w:p>
        </w:tc>
        <w:tc>
          <w:tcPr>
            <w:tcW w:w="1408" w:type="dxa"/>
            <w:gridSpan w:val="2"/>
            <w:vAlign w:val="center"/>
          </w:tcPr>
          <w:p w14:paraId="020B17A5" w14:textId="77777777" w:rsidR="009967D1" w:rsidRDefault="009967D1">
            <w:pPr>
              <w:spacing w:line="400" w:lineRule="exact"/>
              <w:jc w:val="center"/>
              <w:rPr>
                <w:b/>
                <w:bCs/>
                <w:color w:val="000000" w:themeColor="text1"/>
                <w:sz w:val="24"/>
              </w:rPr>
            </w:pPr>
          </w:p>
        </w:tc>
      </w:tr>
      <w:tr w:rsidR="009967D1" w14:paraId="61C506D1" w14:textId="77777777">
        <w:trPr>
          <w:trHeight w:val="1651"/>
          <w:jc w:val="center"/>
        </w:trPr>
        <w:tc>
          <w:tcPr>
            <w:tcW w:w="9653" w:type="dxa"/>
            <w:gridSpan w:val="11"/>
            <w:vAlign w:val="center"/>
          </w:tcPr>
          <w:p w14:paraId="788F6451" w14:textId="6B8F2D85" w:rsidR="00DB4571" w:rsidRDefault="00DB4571" w:rsidP="00DB4571">
            <w:r>
              <w:rPr>
                <w:b/>
                <w:bCs/>
              </w:rPr>
              <w:t>Clinical Significance:</w:t>
            </w:r>
            <w:r>
              <w:t xml:space="preserve"> </w:t>
            </w:r>
            <w:r w:rsidRPr="00DB4571">
              <w:t>Reflects the body’s vitamin D status and calcium-phosphorus metabolism. It is the most reliable marker for evaluating vitamin D reserves. Deficiency is associated with rickets, osteomalacia, osteoporosis, and increased risks of fractures and certain chronic diseases. The optimal reference range is usually 30–100 ng/mL, with &lt;20 ng/mL indicating deficiency.</w:t>
            </w:r>
          </w:p>
          <w:p w14:paraId="7D91E9D8" w14:textId="4F933D8E" w:rsidR="009967D1" w:rsidRDefault="00DB4571" w:rsidP="00DB4571">
            <w:r>
              <w:rPr>
                <w:b/>
                <w:bCs/>
              </w:rPr>
              <w:t>临床意义：</w:t>
            </w:r>
            <w:r w:rsidRPr="00DB4571">
              <w:t>反映机体维生素D水平及钙磷代谢状态，是评估维生素D储备最可靠的指标。缺乏与佝偻病、骨软化症、骨质疏松及骨折风险增加等相关，也可能与部分慢性疾病发生率升高有关。正常参考范围通常为 30–100 ng/mL，＜20 ng/mL 提示缺乏。</w:t>
            </w:r>
          </w:p>
        </w:tc>
      </w:tr>
    </w:tbl>
    <w:p w14:paraId="5EA369CC"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B249408" w14:textId="77777777">
        <w:trPr>
          <w:trHeight w:hRule="exact" w:val="113"/>
          <w:jc w:val="center"/>
        </w:trPr>
        <w:tc>
          <w:tcPr>
            <w:tcW w:w="1560" w:type="dxa"/>
            <w:gridSpan w:val="2"/>
            <w:tcBorders>
              <w:top w:val="single" w:sz="4" w:space="0" w:color="auto"/>
            </w:tcBorders>
            <w:vAlign w:val="center"/>
          </w:tcPr>
          <w:p w14:paraId="3E1EAA3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974405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BD627D2"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1C27CAE"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D35ED7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8E2AD70" w14:textId="77777777" w:rsidR="009967D1" w:rsidRDefault="009967D1">
            <w:pPr>
              <w:spacing w:line="300" w:lineRule="exact"/>
              <w:jc w:val="right"/>
              <w:rPr>
                <w:color w:val="323E4F" w:themeColor="text2" w:themeShade="BF"/>
                <w:sz w:val="2"/>
                <w:szCs w:val="2"/>
              </w:rPr>
            </w:pPr>
          </w:p>
        </w:tc>
      </w:tr>
      <w:tr w:rsidR="009967D1" w14:paraId="4992DA56" w14:textId="77777777">
        <w:trPr>
          <w:trHeight w:val="432"/>
          <w:jc w:val="center"/>
        </w:trPr>
        <w:tc>
          <w:tcPr>
            <w:tcW w:w="1150" w:type="dxa"/>
            <w:vAlign w:val="center"/>
          </w:tcPr>
          <w:p w14:paraId="154FB16E" w14:textId="77777777" w:rsidR="009967D1" w:rsidRDefault="0080134E">
            <w:pPr>
              <w:spacing w:line="400" w:lineRule="exact"/>
              <w:jc w:val="center"/>
              <w:rPr>
                <w:b/>
                <w:bCs/>
                <w:color w:val="000000" w:themeColor="text1"/>
                <w:sz w:val="24"/>
              </w:rPr>
            </w:pPr>
            <w:r>
              <w:rPr>
                <w:rFonts w:hint="eastAsia"/>
                <w:b/>
                <w:bCs/>
                <w:color w:val="000000" w:themeColor="text1"/>
                <w:sz w:val="24"/>
              </w:rPr>
              <w:t>PTH</w:t>
            </w:r>
          </w:p>
        </w:tc>
        <w:tc>
          <w:tcPr>
            <w:tcW w:w="2536" w:type="dxa"/>
            <w:gridSpan w:val="2"/>
            <w:vAlign w:val="center"/>
          </w:tcPr>
          <w:p w14:paraId="2D56771E" w14:textId="77777777" w:rsidR="009967D1" w:rsidRDefault="0080134E">
            <w:pPr>
              <w:spacing w:line="400" w:lineRule="exact"/>
              <w:jc w:val="center"/>
              <w:rPr>
                <w:b/>
                <w:bCs/>
                <w:color w:val="000000" w:themeColor="text1"/>
                <w:sz w:val="24"/>
              </w:rPr>
            </w:pPr>
            <w:r>
              <w:rPr>
                <w:rFonts w:hint="eastAsia"/>
                <w:b/>
                <w:bCs/>
                <w:color w:val="000000" w:themeColor="text1"/>
                <w:sz w:val="24"/>
              </w:rPr>
              <w:t>甲状旁腺激素</w:t>
            </w:r>
          </w:p>
        </w:tc>
        <w:tc>
          <w:tcPr>
            <w:tcW w:w="1754" w:type="dxa"/>
            <w:gridSpan w:val="2"/>
            <w:vAlign w:val="center"/>
          </w:tcPr>
          <w:p>
            <w:r>
              <w:t>{{PTH_result}}</w:t>
            </w:r>
          </w:p>
        </w:tc>
        <w:tc>
          <w:tcPr>
            <w:tcW w:w="825" w:type="dxa"/>
            <w:gridSpan w:val="2"/>
            <w:vAlign w:val="center"/>
          </w:tcPr>
          <w:p>
            <w:r>
              <w:t>{{PTH_point}}</w:t>
            </w:r>
          </w:p>
        </w:tc>
        <w:tc>
          <w:tcPr>
            <w:tcW w:w="1980" w:type="dxa"/>
            <w:gridSpan w:val="2"/>
            <w:vAlign w:val="center"/>
          </w:tcPr>
          <w:p>
            <w:r>
              <w:t>{{PTH_refer}}</w:t>
            </w:r>
          </w:p>
        </w:tc>
        <w:tc>
          <w:tcPr>
            <w:tcW w:w="1408" w:type="dxa"/>
            <w:gridSpan w:val="2"/>
            <w:vAlign w:val="center"/>
          </w:tcPr>
          <w:p>
            <w:r>
              <w:t>{{PTH_unit}}</w:t>
            </w:r>
          </w:p>
        </w:tc>
      </w:tr>
      <w:tr w:rsidR="009967D1" w14:paraId="5615E19C" w14:textId="77777777">
        <w:trPr>
          <w:trHeight w:val="1651"/>
          <w:jc w:val="center"/>
        </w:trPr>
        <w:tc>
          <w:tcPr>
            <w:tcW w:w="9653" w:type="dxa"/>
            <w:gridSpan w:val="11"/>
            <w:vAlign w:val="center"/>
          </w:tcPr>
          <w:p w14:paraId="21CEE438" w14:textId="77777777" w:rsidR="009967D1" w:rsidRDefault="009967D1"/>
          <w:p w14:paraId="1915FD0E" w14:textId="77777777" w:rsidR="009967D1" w:rsidRDefault="0080134E">
            <w:r>
              <w:rPr>
                <w:b/>
                <w:bCs/>
              </w:rPr>
              <w:t>Clinical Significance:</w:t>
            </w:r>
            <w:r>
              <w:t xml:space="preserve"> Regulates calcium and phosphorus metabolism, maintains blood calcium stability, and diagnoses hyperparathyroidism / hypoparathyroidism. Normal reference value: 15 - 65pg/ml.</w:t>
            </w:r>
          </w:p>
          <w:p w14:paraId="7B99CB36" w14:textId="77777777" w:rsidR="009967D1" w:rsidRDefault="0080134E">
            <w:r>
              <w:rPr>
                <w:b/>
                <w:bCs/>
              </w:rPr>
              <w:t>临床意义：</w:t>
            </w:r>
            <w:r>
              <w:t>调节钙磷代谢，维持血钙稳定，诊断甲状旁腺功能亢进/减退，正常参考值15-65pg/ml。</w:t>
            </w:r>
          </w:p>
        </w:tc>
      </w:tr>
    </w:tbl>
    <w:p w14:paraId="207CF56A"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1FBD5AD" w14:textId="77777777">
        <w:trPr>
          <w:trHeight w:hRule="exact" w:val="113"/>
          <w:jc w:val="center"/>
        </w:trPr>
        <w:tc>
          <w:tcPr>
            <w:tcW w:w="1560" w:type="dxa"/>
            <w:gridSpan w:val="2"/>
            <w:tcBorders>
              <w:top w:val="single" w:sz="4" w:space="0" w:color="auto"/>
            </w:tcBorders>
            <w:vAlign w:val="center"/>
          </w:tcPr>
          <w:p w14:paraId="74DFB1E1"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4B804C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29CA38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E3B6730"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7F265C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937EFEA" w14:textId="77777777" w:rsidR="009967D1" w:rsidRDefault="009967D1">
            <w:pPr>
              <w:spacing w:line="300" w:lineRule="exact"/>
              <w:jc w:val="right"/>
              <w:rPr>
                <w:color w:val="323E4F" w:themeColor="text2" w:themeShade="BF"/>
                <w:sz w:val="2"/>
                <w:szCs w:val="2"/>
              </w:rPr>
            </w:pPr>
          </w:p>
        </w:tc>
      </w:tr>
      <w:tr w:rsidR="009967D1" w14:paraId="2C6BEEA5" w14:textId="77777777">
        <w:trPr>
          <w:trHeight w:val="432"/>
          <w:jc w:val="center"/>
        </w:trPr>
        <w:tc>
          <w:tcPr>
            <w:tcW w:w="1150" w:type="dxa"/>
            <w:vAlign w:val="center"/>
          </w:tcPr>
          <w:p w14:paraId="55411661" w14:textId="77777777" w:rsidR="009967D1" w:rsidRPr="0010662E" w:rsidRDefault="0080134E">
            <w:pPr>
              <w:spacing w:line="400" w:lineRule="exact"/>
              <w:jc w:val="center"/>
              <w:rPr>
                <w:b/>
                <w:bCs/>
                <w:color w:val="000000" w:themeColor="text1"/>
                <w:sz w:val="24"/>
              </w:rPr>
            </w:pPr>
            <w:r w:rsidRPr="0010662E">
              <w:rPr>
                <w:rFonts w:hint="eastAsia"/>
                <w:b/>
                <w:bCs/>
                <w:color w:val="000000" w:themeColor="text1"/>
                <w:sz w:val="24"/>
              </w:rPr>
              <w:t>OST</w:t>
            </w:r>
          </w:p>
        </w:tc>
        <w:tc>
          <w:tcPr>
            <w:tcW w:w="2536" w:type="dxa"/>
            <w:gridSpan w:val="2"/>
            <w:vAlign w:val="center"/>
          </w:tcPr>
          <w:p w14:paraId="3D045A7C" w14:textId="77777777" w:rsidR="009967D1" w:rsidRDefault="0080134E">
            <w:pPr>
              <w:spacing w:line="400" w:lineRule="exact"/>
              <w:jc w:val="center"/>
              <w:rPr>
                <w:b/>
                <w:bCs/>
                <w:color w:val="000000" w:themeColor="text1"/>
                <w:sz w:val="24"/>
              </w:rPr>
            </w:pPr>
            <w:r w:rsidRPr="0010662E">
              <w:rPr>
                <w:rFonts w:hint="eastAsia"/>
                <w:b/>
                <w:bCs/>
                <w:color w:val="000000" w:themeColor="text1"/>
                <w:sz w:val="24"/>
              </w:rPr>
              <w:t>骨钙素</w:t>
            </w:r>
          </w:p>
        </w:tc>
        <w:tc>
          <w:tcPr>
            <w:tcW w:w="1754" w:type="dxa"/>
            <w:gridSpan w:val="2"/>
            <w:vAlign w:val="center"/>
          </w:tcPr>
          <w:p>
            <w:r>
              <w:t>{{OST_result}}</w:t>
            </w:r>
          </w:p>
        </w:tc>
        <w:tc>
          <w:tcPr>
            <w:tcW w:w="825" w:type="dxa"/>
            <w:gridSpan w:val="2"/>
            <w:vAlign w:val="center"/>
          </w:tcPr>
          <w:p>
            <w:r>
              <w:t>{{OST_point}}</w:t>
            </w:r>
          </w:p>
        </w:tc>
        <w:tc>
          <w:tcPr>
            <w:tcW w:w="1980" w:type="dxa"/>
            <w:gridSpan w:val="2"/>
            <w:vAlign w:val="center"/>
          </w:tcPr>
          <w:p>
            <w:r>
              <w:t>{{OST_refer}}</w:t>
            </w:r>
          </w:p>
        </w:tc>
        <w:tc>
          <w:tcPr>
            <w:tcW w:w="1408" w:type="dxa"/>
            <w:gridSpan w:val="2"/>
            <w:vAlign w:val="center"/>
          </w:tcPr>
          <w:p>
            <w:r>
              <w:t>{{OST_unit}}</w:t>
            </w:r>
          </w:p>
        </w:tc>
      </w:tr>
      <w:tr w:rsidR="009967D1" w14:paraId="02666098" w14:textId="77777777">
        <w:trPr>
          <w:trHeight w:val="1651"/>
          <w:jc w:val="center"/>
        </w:trPr>
        <w:tc>
          <w:tcPr>
            <w:tcW w:w="9653" w:type="dxa"/>
            <w:gridSpan w:val="11"/>
            <w:vAlign w:val="center"/>
          </w:tcPr>
          <w:p w14:paraId="2BAA469D" w14:textId="4B4A9E59" w:rsidR="00071355" w:rsidRDefault="00071355" w:rsidP="00071355">
            <w:r>
              <w:rPr>
                <w:b/>
                <w:bCs/>
              </w:rPr>
              <w:t>Clinical Significance:</w:t>
            </w:r>
            <w:r>
              <w:t xml:space="preserve"> </w:t>
            </w:r>
            <w:r w:rsidRPr="00071355">
              <w:t>Serves as a sensitive marker of bone formation and osteoblastic activity. Elevated levels suggest active bone metabolism (e.g., during growth or fracture healing), while reduced levels may indicate impaired bone formation, osteoporosis, or metabolic bone disease. It is also used to monitor the efficacy of anti-osteoporosis treatments.</w:t>
            </w:r>
          </w:p>
          <w:p w14:paraId="2C81960E" w14:textId="5F194C9F" w:rsidR="009967D1" w:rsidRDefault="00071355" w:rsidP="00071355">
            <w:r>
              <w:rPr>
                <w:b/>
                <w:bCs/>
              </w:rPr>
              <w:t>临床意义：</w:t>
            </w:r>
            <w:r w:rsidRPr="00071355">
              <w:t>是反映骨形成和成骨细胞活性的敏感指标。升高提示骨代谢活跃（如儿童生长期或骨折愈合期），降低则可能提示骨形成不足、骨质疏松或代谢性骨病。常用于骨质疏松治疗过程中的疗效监测。</w:t>
            </w:r>
          </w:p>
        </w:tc>
      </w:tr>
    </w:tbl>
    <w:p w14:paraId="537F03C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221D062" w14:textId="77777777">
        <w:trPr>
          <w:trHeight w:hRule="exact" w:val="113"/>
          <w:jc w:val="center"/>
        </w:trPr>
        <w:tc>
          <w:tcPr>
            <w:tcW w:w="1560" w:type="dxa"/>
            <w:gridSpan w:val="2"/>
            <w:tcBorders>
              <w:top w:val="single" w:sz="4" w:space="0" w:color="auto"/>
            </w:tcBorders>
            <w:vAlign w:val="center"/>
          </w:tcPr>
          <w:p w14:paraId="4AC16307"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800ED0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6928F3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F8E2C0B"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C3C78C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6F1B7B7" w14:textId="77777777" w:rsidR="009967D1" w:rsidRDefault="009967D1">
            <w:pPr>
              <w:spacing w:line="300" w:lineRule="exact"/>
              <w:jc w:val="right"/>
              <w:rPr>
                <w:color w:val="323E4F" w:themeColor="text2" w:themeShade="BF"/>
                <w:sz w:val="2"/>
                <w:szCs w:val="2"/>
              </w:rPr>
            </w:pPr>
          </w:p>
        </w:tc>
      </w:tr>
      <w:tr w:rsidR="009967D1" w14:paraId="7BAC1CAD" w14:textId="77777777">
        <w:trPr>
          <w:trHeight w:val="432"/>
          <w:jc w:val="center"/>
        </w:trPr>
        <w:tc>
          <w:tcPr>
            <w:tcW w:w="1150" w:type="dxa"/>
            <w:vAlign w:val="center"/>
          </w:tcPr>
          <w:p w14:paraId="3643FE78" w14:textId="77777777" w:rsidR="009967D1" w:rsidRDefault="0080134E">
            <w:pPr>
              <w:spacing w:line="400" w:lineRule="exact"/>
              <w:jc w:val="center"/>
              <w:rPr>
                <w:b/>
                <w:bCs/>
                <w:color w:val="000000" w:themeColor="text1"/>
                <w:sz w:val="24"/>
              </w:rPr>
            </w:pPr>
            <w:r>
              <w:rPr>
                <w:rFonts w:hint="eastAsia"/>
                <w:b/>
                <w:bCs/>
                <w:color w:val="000000" w:themeColor="text1"/>
                <w:sz w:val="24"/>
              </w:rPr>
              <w:t>TPINP</w:t>
            </w:r>
          </w:p>
        </w:tc>
        <w:tc>
          <w:tcPr>
            <w:tcW w:w="2536" w:type="dxa"/>
            <w:gridSpan w:val="2"/>
            <w:vAlign w:val="center"/>
          </w:tcPr>
          <w:p w14:paraId="69860447" w14:textId="77777777" w:rsidR="009967D1" w:rsidRDefault="0080134E">
            <w:pPr>
              <w:spacing w:line="400" w:lineRule="exact"/>
              <w:jc w:val="center"/>
              <w:rPr>
                <w:b/>
                <w:bCs/>
                <w:color w:val="000000" w:themeColor="text1"/>
                <w:sz w:val="24"/>
              </w:rPr>
            </w:pPr>
            <w:r>
              <w:rPr>
                <w:rFonts w:hint="eastAsia"/>
                <w:b/>
                <w:bCs/>
                <w:color w:val="000000" w:themeColor="text1"/>
                <w:sz w:val="24"/>
              </w:rPr>
              <w:t>总I型胶原氨基端延长肽</w:t>
            </w:r>
          </w:p>
        </w:tc>
        <w:tc>
          <w:tcPr>
            <w:tcW w:w="1754" w:type="dxa"/>
            <w:gridSpan w:val="2"/>
            <w:vAlign w:val="center"/>
          </w:tcPr>
          <w:p>
            <w:r>
              <w:t>{{TPINP_result}}</w:t>
            </w:r>
          </w:p>
        </w:tc>
        <w:tc>
          <w:tcPr>
            <w:tcW w:w="825" w:type="dxa"/>
            <w:gridSpan w:val="2"/>
            <w:vAlign w:val="center"/>
          </w:tcPr>
          <w:p>
            <w:r>
              <w:t>{{TPINP_point}}</w:t>
            </w:r>
          </w:p>
        </w:tc>
        <w:tc>
          <w:tcPr>
            <w:tcW w:w="1980" w:type="dxa"/>
            <w:gridSpan w:val="2"/>
            <w:vAlign w:val="center"/>
          </w:tcPr>
          <w:p>
            <w:r>
              <w:t>{{TPINP_refer}}</w:t>
            </w:r>
          </w:p>
        </w:tc>
        <w:tc>
          <w:tcPr>
            <w:tcW w:w="1408" w:type="dxa"/>
            <w:gridSpan w:val="2"/>
            <w:vAlign w:val="center"/>
          </w:tcPr>
          <w:p>
            <w:r>
              <w:t>{{TPINP_unit}}</w:t>
            </w:r>
          </w:p>
        </w:tc>
      </w:tr>
      <w:tr w:rsidR="009967D1" w14:paraId="6B7D2BE3" w14:textId="77777777">
        <w:trPr>
          <w:trHeight w:val="1651"/>
          <w:jc w:val="center"/>
        </w:trPr>
        <w:tc>
          <w:tcPr>
            <w:tcW w:w="9653" w:type="dxa"/>
            <w:gridSpan w:val="11"/>
            <w:vAlign w:val="center"/>
          </w:tcPr>
          <w:p w14:paraId="14D501D3" w14:textId="77777777" w:rsidR="009967D1" w:rsidRDefault="009967D1"/>
          <w:p w14:paraId="4AB3C18F" w14:textId="77777777" w:rsidR="009967D1" w:rsidRDefault="0080134E">
            <w:r>
              <w:rPr>
                <w:b/>
                <w:bCs/>
              </w:rPr>
              <w:t>Clinical Significance:</w:t>
            </w:r>
            <w:r>
              <w:t xml:space="preserve"> A bone formation marker, reflecting the synthesis of type I collagen, evaluating bone metabolism and the effect of osteoporosis treatment. The normal reference value varies depending on the detection method, generally 14 - 42ng/ml for adult males, 10 - 35ng/ml for premenopausal females, and 19 - 71ng/ml for postmenopausal females.</w:t>
            </w:r>
          </w:p>
          <w:p w14:paraId="6D1576D8" w14:textId="77777777" w:rsidR="009967D1" w:rsidRDefault="0080134E">
            <w:r>
              <w:rPr>
                <w:b/>
                <w:bCs/>
              </w:rPr>
              <w:t>临床意义：</w:t>
            </w:r>
            <w:r>
              <w:t>骨形成标志物，反映I型胶原合成情况，评估骨代谢、骨质疏松治疗效果，正常参考值因检测方法而异，一般成人男性14-42ng/ml，女性绝经前10-35ng/ml，绝经后19-71ng/ml。</w:t>
            </w:r>
          </w:p>
        </w:tc>
      </w:tr>
    </w:tbl>
    <w:p w14:paraId="3C098133" w14:textId="77777777" w:rsidR="009967D1" w:rsidRDefault="009967D1" w:rsidP="004619DA">
      <w:pPr>
        <w:pStyle w:val="0"/>
      </w:pPr>
    </w:p>
    <w:p w14:paraId="53AE645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00F26C7" w14:textId="77777777">
        <w:trPr>
          <w:trHeight w:hRule="exact" w:val="113"/>
          <w:jc w:val="center"/>
        </w:trPr>
        <w:tc>
          <w:tcPr>
            <w:tcW w:w="1560" w:type="dxa"/>
            <w:gridSpan w:val="2"/>
            <w:tcBorders>
              <w:top w:val="single" w:sz="4" w:space="0" w:color="auto"/>
            </w:tcBorders>
            <w:vAlign w:val="center"/>
          </w:tcPr>
          <w:p w14:paraId="644CE74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552528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2360CC4"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E94ACB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8B2EFE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3A946D5" w14:textId="77777777" w:rsidR="009967D1" w:rsidRDefault="009967D1">
            <w:pPr>
              <w:spacing w:line="300" w:lineRule="exact"/>
              <w:jc w:val="right"/>
              <w:rPr>
                <w:color w:val="323E4F" w:themeColor="text2" w:themeShade="BF"/>
                <w:sz w:val="2"/>
                <w:szCs w:val="2"/>
              </w:rPr>
            </w:pPr>
          </w:p>
        </w:tc>
      </w:tr>
      <w:tr w:rsidR="009967D1" w14:paraId="53D387C3" w14:textId="77777777">
        <w:trPr>
          <w:trHeight w:val="432"/>
          <w:jc w:val="center"/>
        </w:trPr>
        <w:tc>
          <w:tcPr>
            <w:tcW w:w="1150" w:type="dxa"/>
            <w:vAlign w:val="center"/>
          </w:tcPr>
          <w:p w14:paraId="404F927C" w14:textId="77777777" w:rsidR="009967D1" w:rsidRDefault="0080134E">
            <w:pPr>
              <w:spacing w:line="400" w:lineRule="exact"/>
              <w:jc w:val="center"/>
              <w:rPr>
                <w:b/>
                <w:bCs/>
                <w:color w:val="000000" w:themeColor="text1"/>
                <w:sz w:val="24"/>
              </w:rPr>
            </w:pPr>
            <w:r>
              <w:rPr>
                <w:rFonts w:hint="eastAsia"/>
                <w:b/>
                <w:bCs/>
                <w:color w:val="000000" w:themeColor="text1"/>
                <w:sz w:val="24"/>
              </w:rPr>
              <w:t>β - CTX</w:t>
            </w:r>
          </w:p>
        </w:tc>
        <w:tc>
          <w:tcPr>
            <w:tcW w:w="2536" w:type="dxa"/>
            <w:gridSpan w:val="2"/>
            <w:vAlign w:val="center"/>
          </w:tcPr>
          <w:p w14:paraId="47B371FE" w14:textId="77777777" w:rsidR="009967D1" w:rsidRDefault="0080134E">
            <w:pPr>
              <w:spacing w:line="400" w:lineRule="exact"/>
              <w:jc w:val="center"/>
              <w:rPr>
                <w:b/>
                <w:bCs/>
                <w:color w:val="000000" w:themeColor="text1"/>
                <w:sz w:val="24"/>
              </w:rPr>
            </w:pPr>
            <w:r>
              <w:rPr>
                <w:rFonts w:hint="eastAsia"/>
                <w:b/>
                <w:bCs/>
                <w:color w:val="000000" w:themeColor="text1"/>
                <w:sz w:val="24"/>
              </w:rPr>
              <w:t>β - 胶原降解产物</w:t>
            </w:r>
          </w:p>
        </w:tc>
        <w:tc>
          <w:tcPr>
            <w:tcW w:w="1754" w:type="dxa"/>
            <w:gridSpan w:val="2"/>
            <w:vAlign w:val="center"/>
          </w:tcPr>
          <w:p>
            <w:r>
              <w:t>{{_CTX_result}}</w:t>
            </w:r>
          </w:p>
        </w:tc>
        <w:tc>
          <w:tcPr>
            <w:tcW w:w="825" w:type="dxa"/>
            <w:gridSpan w:val="2"/>
            <w:vAlign w:val="center"/>
          </w:tcPr>
          <w:p>
            <w:r>
              <w:t>{{_CTX_point}}</w:t>
            </w:r>
          </w:p>
        </w:tc>
        <w:tc>
          <w:tcPr>
            <w:tcW w:w="1980" w:type="dxa"/>
            <w:gridSpan w:val="2"/>
            <w:vAlign w:val="center"/>
          </w:tcPr>
          <w:p>
            <w:r>
              <w:t>{{_CTX_refer}}</w:t>
            </w:r>
          </w:p>
        </w:tc>
        <w:tc>
          <w:tcPr>
            <w:tcW w:w="1408" w:type="dxa"/>
            <w:gridSpan w:val="2"/>
            <w:vAlign w:val="center"/>
          </w:tcPr>
          <w:p>
            <w:r>
              <w:t>{{_CTX_unit}}</w:t>
            </w:r>
          </w:p>
        </w:tc>
      </w:tr>
      <w:tr w:rsidR="009967D1" w14:paraId="448AA7DA" w14:textId="77777777">
        <w:trPr>
          <w:trHeight w:val="1651"/>
          <w:jc w:val="center"/>
        </w:trPr>
        <w:tc>
          <w:tcPr>
            <w:tcW w:w="9653" w:type="dxa"/>
            <w:gridSpan w:val="11"/>
            <w:vAlign w:val="center"/>
          </w:tcPr>
          <w:p w14:paraId="750C3833" w14:textId="77777777" w:rsidR="009967D1" w:rsidRDefault="009967D1"/>
          <w:p w14:paraId="70D50019" w14:textId="77777777" w:rsidR="009967D1" w:rsidRDefault="0080134E">
            <w:r>
              <w:rPr>
                <w:b/>
                <w:bCs/>
              </w:rPr>
              <w:t>Clinical Significance:</w:t>
            </w:r>
            <w:r>
              <w:t xml:space="preserve"> A bone resorption marker, reflecting bone collagen degradation, evaluating osteoporosis and bone turnover rate. The normal reference value is 0.13 - 0.47ng/ml for adult males, 0.11 - 0.43ng/ml for premenopausal females, and 0.23 - 0.78ng/ml for postmenopausal females.</w:t>
            </w:r>
          </w:p>
          <w:p w14:paraId="77D07858" w14:textId="77777777" w:rsidR="009967D1" w:rsidRDefault="0080134E">
            <w:r>
              <w:rPr>
                <w:b/>
                <w:bCs/>
              </w:rPr>
              <w:t>临床意义：</w:t>
            </w:r>
            <w:r>
              <w:t>骨吸收标志物，反映骨胶原降解情况，评估骨质疏松、骨转换率，正常参考值成人男性0.13-0.47ng/ml，女性绝经前0.11-0.43ng/ml，绝经后0.23-0.78ng/ml。</w:t>
            </w:r>
          </w:p>
          <w:p w14:paraId="59959663" w14:textId="77777777" w:rsidR="003D42D0" w:rsidRDefault="003D42D0"/>
          <w:p w14:paraId="3671BDC9" w14:textId="77777777" w:rsidR="003D42D0" w:rsidRDefault="003D42D0"/>
        </w:tc>
      </w:tr>
    </w:tbl>
    <w:p w14:paraId="16563C40" w14:textId="77777777" w:rsidR="009967D1" w:rsidRDefault="009967D1" w:rsidP="004619DA">
      <w:pPr>
        <w:pStyle w:val="0"/>
      </w:pPr>
    </w:p>
    <w:p w14:paraId="055225DD"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5EA7A316" w14:textId="2B3A770D" w:rsidR="009967D1" w:rsidRDefault="007D4942" w:rsidP="007D4942">
      <w:pPr>
        <w:pStyle w:val="3-"/>
      </w:pPr>
      <w:r>
        <w:lastRenderedPageBreak/>
        <w:t>M</w:t>
      </w:r>
      <w:r w:rsidRPr="007D4942">
        <w:t>icroelement</w:t>
      </w:r>
      <w:r>
        <w:br/>
      </w:r>
      <w:r w:rsidR="0080134E">
        <w:rPr>
          <w:rFonts w:hint="eastAsia"/>
        </w:rPr>
        <w:t>微量元素</w:t>
      </w:r>
    </w:p>
    <w:p w14:paraId="01B8BD17" w14:textId="77777777" w:rsidR="007D4942" w:rsidRDefault="007D4942" w:rsidP="007D4942">
      <w:pPr>
        <w:pStyle w:val="0"/>
      </w:pPr>
    </w:p>
    <w:p w14:paraId="1D2C8D90" w14:textId="4120C1A3" w:rsidR="007D4942" w:rsidRDefault="007D4942" w:rsidP="007D4942">
      <w:pPr>
        <w:pStyle w:val="00"/>
      </w:pPr>
      <w:r w:rsidRPr="007D4942">
        <w:t>Microelement testing is an important laboratory assessment for evaluating nutritional status and metabolic balance. Commonly measured elements include lead (Pb), copper (Cu), zinc (Zn), magnesium (Mg), and iron (Fe). Although present in trace amounts, these elements play vital roles in enzyme activity, immune regulation, hematopoiesis, nerve conduction, and bone metabolism. Both deficiency and excess can cause significant health problems, making microelement testing highly valuable in nutrition science and chronic disease management.</w:t>
      </w:r>
    </w:p>
    <w:p w14:paraId="6DCFBEC1" w14:textId="6C268797" w:rsidR="007D4942" w:rsidRDefault="007D4942" w:rsidP="007D4942">
      <w:pPr>
        <w:pStyle w:val="0"/>
      </w:pPr>
      <w:r>
        <w:t>微量元素检测是评估人体营养状态和代谢平衡的重要检查，常测定的指标包括铅（</w:t>
      </w:r>
      <w:r>
        <w:t>Pb</w:t>
      </w:r>
      <w:r>
        <w:t>）、铜（</w:t>
      </w:r>
      <w:r>
        <w:t>Cu</w:t>
      </w:r>
      <w:r>
        <w:t>）、锌（</w:t>
      </w:r>
      <w:r>
        <w:t>Zn</w:t>
      </w:r>
      <w:r>
        <w:t>）、镁（</w:t>
      </w:r>
      <w:r>
        <w:t>Mg</w:t>
      </w:r>
      <w:r>
        <w:t>）、铁（</w:t>
      </w:r>
      <w:r>
        <w:t>Fe</w:t>
      </w:r>
      <w:r>
        <w:t>）等。这些元素虽然在体内含量极低，却对机体的酶活性、免疫功能、血液生成、神经传导和骨骼代谢具有关键作用。缺乏或过量均会导致不同程度的健康问题，因此微量元素检测在营养学和慢病管理中具有重要意义。</w:t>
      </w:r>
    </w:p>
    <w:p w14:paraId="55D5F696" w14:textId="05470FF5" w:rsidR="007D4942" w:rsidRDefault="007D4942" w:rsidP="007D4942">
      <w:pPr>
        <w:pStyle w:val="00"/>
      </w:pPr>
      <w:r w:rsidRPr="007D4942">
        <w:t>In preventive healthcare, microelement testing helps identify nutritional deficiencies, metabolic disorders, and heavy metal exposure risks. It is particularly important for individuals with unbalanced diets, high stress, frequent fatigue, pregnant women, and children, as well as those in suboptimal health. Regular monitoring supports timely dietary adjustments or supplementation and serves as a key screening tool for chronic fatigue, weakened immunity, and developmental delays.</w:t>
      </w:r>
    </w:p>
    <w:p w14:paraId="05165EB9" w14:textId="696B1ABD" w:rsidR="007D4942" w:rsidRDefault="007D4942" w:rsidP="007D4942">
      <w:pPr>
        <w:pStyle w:val="0"/>
      </w:pPr>
      <w:r>
        <w:t>在健康管理中，微量元素检测不仅有助于发现营养缺乏或代谢紊乱，也能帮助识别重金属暴露风险。对于饮食结构不均衡、长期熬夜、压力大、孕妇及儿童等特殊人群，定期检测尤为重要，以便及时进行饮食调整或补充治疗。同时，它也是慢性疲劳、免疫力低下、发育迟缓等亚健康状态的重要筛查工具。</w:t>
      </w:r>
    </w:p>
    <w:p w14:paraId="33246147" w14:textId="66D57CC4" w:rsidR="007D4942" w:rsidRDefault="007D4942" w:rsidP="007D4942">
      <w:pPr>
        <w:pStyle w:val="00"/>
      </w:pPr>
      <w:r w:rsidRPr="007D4942">
        <w:t>Thus, microelement testing is not only a scientific basis for maintaining nutritional balance and metabolic homeostasis but also an essential component of chronic disease prevention and quality-of-life improvement.</w:t>
      </w:r>
    </w:p>
    <w:p w14:paraId="6A1B777A" w14:textId="19131513" w:rsidR="007D4942" w:rsidRDefault="007D4942" w:rsidP="007D4942">
      <w:pPr>
        <w:pStyle w:val="0"/>
      </w:pPr>
      <w:r w:rsidRPr="007D4942">
        <w:t>因此，微量元素检测不仅是维持营养均衡和代谢稳态的科学依据，也是预防慢性疾病和改善生活质量的重要组成部分。</w:t>
      </w:r>
    </w:p>
    <w:p w14:paraId="28C5D37C" w14:textId="0C1C395F" w:rsidR="00E0487F" w:rsidRDefault="00E0487F" w:rsidP="007D4942">
      <w:pPr>
        <w:pStyle w:val="0"/>
      </w:pPr>
      <w:r w:rsidRPr="009E1205">
        <w:rPr>
          <w:noProof/>
        </w:rPr>
        <w:drawing>
          <wp:anchor distT="0" distB="0" distL="114300" distR="114300" simplePos="0" relativeHeight="251691008" behindDoc="0" locked="0" layoutInCell="1" allowOverlap="1" wp14:anchorId="5FB98C60" wp14:editId="5AFA58BD">
            <wp:simplePos x="0" y="0"/>
            <wp:positionH relativeFrom="column">
              <wp:posOffset>1270</wp:posOffset>
            </wp:positionH>
            <wp:positionV relativeFrom="paragraph">
              <wp:posOffset>291979</wp:posOffset>
            </wp:positionV>
            <wp:extent cx="6080125" cy="1706245"/>
            <wp:effectExtent l="0" t="0" r="3175" b="0"/>
            <wp:wrapNone/>
            <wp:docPr id="8908895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889538" name="图片 1"/>
                    <pic:cNvPicPr/>
                  </pic:nvPicPr>
                  <pic:blipFill>
                    <a:blip r:embed="rId27">
                      <a:extLst>
                        <a:ext uri="{28A0092B-C50C-407E-A947-70E740481C1C}">
                          <a14:useLocalDpi xmlns:a14="http://schemas.microsoft.com/office/drawing/2010/main" val="0"/>
                        </a:ext>
                      </a:extLst>
                    </a:blip>
                    <a:srcRect t="28931" b="28931"/>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F803678" w14:textId="415D3E82" w:rsidR="007D4942" w:rsidRPr="007D4942" w:rsidRDefault="007D4942" w:rsidP="007D4942">
      <w:pPr>
        <w:pStyle w:val="0"/>
      </w:pPr>
    </w:p>
    <w:p w14:paraId="6028624D" w14:textId="7644B9CC" w:rsidR="009967D1" w:rsidRDefault="0080134E">
      <w:pPr>
        <w:widowControl/>
        <w:jc w:val="left"/>
      </w:pPr>
      <w:r>
        <w:br w:type="page"/>
      </w:r>
    </w:p>
    <w:p w14:paraId="084FFF9D"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18C6A9A" w14:textId="77777777">
        <w:trPr>
          <w:trHeight w:val="839"/>
          <w:jc w:val="center"/>
        </w:trPr>
        <w:tc>
          <w:tcPr>
            <w:tcW w:w="1150" w:type="dxa"/>
            <w:tcBorders>
              <w:top w:val="single" w:sz="4" w:space="0" w:color="auto"/>
              <w:bottom w:val="single" w:sz="4" w:space="0" w:color="auto"/>
            </w:tcBorders>
            <w:vAlign w:val="center"/>
          </w:tcPr>
          <w:p w14:paraId="000DE322"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2FCF529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3F9F358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59D5740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6CD01CC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06ED1D5F"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47BC199C" w14:textId="77777777">
        <w:trPr>
          <w:trHeight w:val="1111"/>
          <w:jc w:val="center"/>
        </w:trPr>
        <w:tc>
          <w:tcPr>
            <w:tcW w:w="9653" w:type="dxa"/>
            <w:gridSpan w:val="11"/>
            <w:tcBorders>
              <w:top w:val="single" w:sz="4" w:space="0" w:color="auto"/>
              <w:bottom w:val="single" w:sz="4" w:space="0" w:color="auto"/>
            </w:tcBorders>
            <w:vAlign w:val="center"/>
          </w:tcPr>
          <w:p w14:paraId="12E26C6A" w14:textId="39CBE118" w:rsidR="009967D1" w:rsidRDefault="00D758D1">
            <w:pPr>
              <w:spacing w:line="400" w:lineRule="exact"/>
              <w:jc w:val="center"/>
              <w:rPr>
                <w:b/>
                <w:bCs/>
                <w:color w:val="323E4F" w:themeColor="text2" w:themeShade="BF"/>
                <w:sz w:val="32"/>
                <w:szCs w:val="32"/>
              </w:rPr>
            </w:pPr>
            <w:r>
              <w:rPr>
                <w:b/>
                <w:bCs/>
                <w:color w:val="323E4F" w:themeColor="text2" w:themeShade="BF"/>
                <w:sz w:val="32"/>
                <w:szCs w:val="32"/>
              </w:rPr>
              <w:t>M</w:t>
            </w:r>
            <w:r w:rsidR="0080134E">
              <w:rPr>
                <w:rFonts w:hint="eastAsia"/>
                <w:b/>
                <w:bCs/>
                <w:color w:val="323E4F" w:themeColor="text2" w:themeShade="BF"/>
                <w:sz w:val="32"/>
                <w:szCs w:val="32"/>
              </w:rPr>
              <w:t>icroelement</w:t>
            </w:r>
          </w:p>
          <w:p w14:paraId="1365E984"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微量元素</w:t>
            </w:r>
          </w:p>
        </w:tc>
      </w:tr>
      <w:tr w:rsidR="009967D1" w14:paraId="70CE506D" w14:textId="77777777">
        <w:trPr>
          <w:trHeight w:hRule="exact" w:val="113"/>
          <w:jc w:val="center"/>
        </w:trPr>
        <w:tc>
          <w:tcPr>
            <w:tcW w:w="1560" w:type="dxa"/>
            <w:gridSpan w:val="2"/>
            <w:tcBorders>
              <w:top w:val="single" w:sz="4" w:space="0" w:color="auto"/>
            </w:tcBorders>
            <w:vAlign w:val="center"/>
          </w:tcPr>
          <w:p w14:paraId="162F5968"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185953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CB94B4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B8A7BE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AC0FA5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85144EF" w14:textId="77777777" w:rsidR="009967D1" w:rsidRDefault="009967D1">
            <w:pPr>
              <w:spacing w:line="300" w:lineRule="exact"/>
              <w:jc w:val="right"/>
              <w:rPr>
                <w:color w:val="323E4F" w:themeColor="text2" w:themeShade="BF"/>
                <w:sz w:val="2"/>
                <w:szCs w:val="2"/>
              </w:rPr>
            </w:pPr>
          </w:p>
        </w:tc>
      </w:tr>
      <w:tr w:rsidR="009967D1" w14:paraId="23720FF7" w14:textId="77777777">
        <w:trPr>
          <w:trHeight w:val="432"/>
          <w:jc w:val="center"/>
        </w:trPr>
        <w:tc>
          <w:tcPr>
            <w:tcW w:w="1150" w:type="dxa"/>
            <w:vAlign w:val="center"/>
          </w:tcPr>
          <w:p w14:paraId="35F04A01" w14:textId="77777777" w:rsidR="009967D1" w:rsidRDefault="0080134E">
            <w:pPr>
              <w:spacing w:line="400" w:lineRule="exact"/>
              <w:jc w:val="center"/>
              <w:rPr>
                <w:b/>
                <w:bCs/>
                <w:color w:val="000000" w:themeColor="text1"/>
                <w:sz w:val="24"/>
              </w:rPr>
            </w:pPr>
            <w:r>
              <w:rPr>
                <w:rFonts w:hint="eastAsia"/>
                <w:b/>
                <w:bCs/>
                <w:color w:val="000000" w:themeColor="text1"/>
                <w:sz w:val="24"/>
              </w:rPr>
              <w:t>Pb</w:t>
            </w:r>
          </w:p>
        </w:tc>
        <w:tc>
          <w:tcPr>
            <w:tcW w:w="2536" w:type="dxa"/>
            <w:gridSpan w:val="2"/>
            <w:vAlign w:val="center"/>
          </w:tcPr>
          <w:p w14:paraId="5E53CB1F" w14:textId="77777777" w:rsidR="009967D1" w:rsidRDefault="0080134E">
            <w:pPr>
              <w:spacing w:line="400" w:lineRule="exact"/>
              <w:jc w:val="center"/>
              <w:rPr>
                <w:b/>
                <w:bCs/>
                <w:color w:val="000000" w:themeColor="text1"/>
                <w:sz w:val="24"/>
              </w:rPr>
            </w:pPr>
            <w:r>
              <w:rPr>
                <w:rFonts w:hint="eastAsia"/>
                <w:b/>
                <w:bCs/>
                <w:color w:val="000000" w:themeColor="text1"/>
                <w:sz w:val="24"/>
              </w:rPr>
              <w:t>全血微量元素铅</w:t>
            </w:r>
          </w:p>
        </w:tc>
        <w:tc>
          <w:tcPr>
            <w:tcW w:w="1754" w:type="dxa"/>
            <w:gridSpan w:val="2"/>
            <w:vAlign w:val="center"/>
          </w:tcPr>
          <w:p>
            <w:r>
              <w:t>{{PB_result}}</w:t>
            </w:r>
          </w:p>
        </w:tc>
        <w:tc>
          <w:tcPr>
            <w:tcW w:w="825" w:type="dxa"/>
            <w:gridSpan w:val="2"/>
            <w:vAlign w:val="center"/>
          </w:tcPr>
          <w:p>
            <w:r>
              <w:t>{{PB_point}}</w:t>
            </w:r>
          </w:p>
        </w:tc>
        <w:tc>
          <w:tcPr>
            <w:tcW w:w="1980" w:type="dxa"/>
            <w:gridSpan w:val="2"/>
            <w:vAlign w:val="center"/>
          </w:tcPr>
          <w:p>
            <w:r>
              <w:t>{{PB_refer}}</w:t>
            </w:r>
          </w:p>
        </w:tc>
        <w:tc>
          <w:tcPr>
            <w:tcW w:w="1408" w:type="dxa"/>
            <w:gridSpan w:val="2"/>
            <w:vAlign w:val="center"/>
          </w:tcPr>
          <w:p>
            <w:r>
              <w:t>{{PB_unit}}</w:t>
            </w:r>
          </w:p>
        </w:tc>
      </w:tr>
      <w:tr w:rsidR="009967D1" w14:paraId="5A2CA5A4" w14:textId="77777777">
        <w:trPr>
          <w:trHeight w:val="1651"/>
          <w:jc w:val="center"/>
        </w:trPr>
        <w:tc>
          <w:tcPr>
            <w:tcW w:w="9653" w:type="dxa"/>
            <w:gridSpan w:val="11"/>
            <w:vAlign w:val="center"/>
          </w:tcPr>
          <w:p w14:paraId="69DB2FC0" w14:textId="77777777" w:rsidR="009967D1" w:rsidRDefault="009967D1"/>
          <w:p w14:paraId="18C3BB5C" w14:textId="77777777" w:rsidR="009967D1" w:rsidRDefault="0080134E">
            <w:r>
              <w:rPr>
                <w:b/>
                <w:bCs/>
              </w:rPr>
              <w:t>Clinical Significance:</w:t>
            </w:r>
            <w:r>
              <w:t xml:space="preserve"> Evaluates lead exposure and lead poisoning risk. Excessive lead can damage the nervous system, blood system, digestive system, etc.</w:t>
            </w:r>
          </w:p>
          <w:p w14:paraId="27F76D66" w14:textId="77777777" w:rsidR="009967D1" w:rsidRDefault="0080134E">
            <w:r>
              <w:rPr>
                <w:b/>
                <w:bCs/>
              </w:rPr>
              <w:t>临床意义：</w:t>
            </w:r>
            <w:r>
              <w:t>评估铅暴露及铅中毒风险，铅过量会损害神经系统、血液系统、消化系统等。</w:t>
            </w:r>
          </w:p>
        </w:tc>
      </w:tr>
    </w:tbl>
    <w:p w14:paraId="7DDB5845" w14:textId="77777777" w:rsidR="009967D1" w:rsidRDefault="009967D1" w:rsidP="004619DA">
      <w:pPr>
        <w:pStyle w:val="0"/>
      </w:pPr>
    </w:p>
    <w:p w14:paraId="62D64B2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A692280" w14:textId="77777777">
        <w:trPr>
          <w:trHeight w:hRule="exact" w:val="113"/>
          <w:jc w:val="center"/>
        </w:trPr>
        <w:tc>
          <w:tcPr>
            <w:tcW w:w="1560" w:type="dxa"/>
            <w:gridSpan w:val="2"/>
            <w:tcBorders>
              <w:top w:val="single" w:sz="4" w:space="0" w:color="auto"/>
            </w:tcBorders>
            <w:vAlign w:val="center"/>
          </w:tcPr>
          <w:p w14:paraId="520DC2DA"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4F8FB0F"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EC474C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1C183D0"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7EA83E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AD2F762" w14:textId="77777777" w:rsidR="009967D1" w:rsidRDefault="009967D1">
            <w:pPr>
              <w:spacing w:line="300" w:lineRule="exact"/>
              <w:jc w:val="right"/>
              <w:rPr>
                <w:color w:val="323E4F" w:themeColor="text2" w:themeShade="BF"/>
                <w:sz w:val="2"/>
                <w:szCs w:val="2"/>
              </w:rPr>
            </w:pPr>
          </w:p>
        </w:tc>
      </w:tr>
      <w:tr w:rsidR="009967D1" w14:paraId="52C0FBB6" w14:textId="77777777">
        <w:trPr>
          <w:trHeight w:val="432"/>
          <w:jc w:val="center"/>
        </w:trPr>
        <w:tc>
          <w:tcPr>
            <w:tcW w:w="1150" w:type="dxa"/>
            <w:vAlign w:val="center"/>
          </w:tcPr>
          <w:p w14:paraId="1E5D4F4F" w14:textId="77777777" w:rsidR="009967D1" w:rsidRDefault="0080134E">
            <w:pPr>
              <w:spacing w:line="400" w:lineRule="exact"/>
              <w:jc w:val="center"/>
              <w:rPr>
                <w:b/>
                <w:bCs/>
                <w:color w:val="000000" w:themeColor="text1"/>
                <w:sz w:val="24"/>
              </w:rPr>
            </w:pPr>
            <w:r>
              <w:rPr>
                <w:rFonts w:hint="eastAsia"/>
                <w:b/>
                <w:bCs/>
                <w:color w:val="000000" w:themeColor="text1"/>
                <w:sz w:val="24"/>
              </w:rPr>
              <w:t>Cu</w:t>
            </w:r>
          </w:p>
        </w:tc>
        <w:tc>
          <w:tcPr>
            <w:tcW w:w="2536" w:type="dxa"/>
            <w:gridSpan w:val="2"/>
            <w:vAlign w:val="center"/>
          </w:tcPr>
          <w:p w14:paraId="7CB8561F" w14:textId="77777777" w:rsidR="009967D1" w:rsidRDefault="0080134E">
            <w:pPr>
              <w:spacing w:line="400" w:lineRule="exact"/>
              <w:jc w:val="center"/>
              <w:rPr>
                <w:b/>
                <w:bCs/>
                <w:color w:val="000000" w:themeColor="text1"/>
                <w:sz w:val="24"/>
              </w:rPr>
            </w:pPr>
            <w:r>
              <w:rPr>
                <w:rFonts w:hint="eastAsia"/>
                <w:b/>
                <w:bCs/>
                <w:color w:val="000000" w:themeColor="text1"/>
                <w:sz w:val="24"/>
              </w:rPr>
              <w:t>全血微量元素铜</w:t>
            </w:r>
          </w:p>
        </w:tc>
        <w:tc>
          <w:tcPr>
            <w:tcW w:w="1754" w:type="dxa"/>
            <w:gridSpan w:val="2"/>
            <w:vAlign w:val="center"/>
          </w:tcPr>
          <w:p>
            <w:r>
              <w:t>{{CU_result}}</w:t>
            </w:r>
          </w:p>
        </w:tc>
        <w:tc>
          <w:tcPr>
            <w:tcW w:w="825" w:type="dxa"/>
            <w:gridSpan w:val="2"/>
            <w:vAlign w:val="center"/>
          </w:tcPr>
          <w:p>
            <w:r>
              <w:t>{{CU_point}}</w:t>
            </w:r>
          </w:p>
        </w:tc>
        <w:tc>
          <w:tcPr>
            <w:tcW w:w="1980" w:type="dxa"/>
            <w:gridSpan w:val="2"/>
            <w:vAlign w:val="center"/>
          </w:tcPr>
          <w:p>
            <w:r>
              <w:t>{{CU_refer}}</w:t>
            </w:r>
          </w:p>
        </w:tc>
        <w:tc>
          <w:tcPr>
            <w:tcW w:w="1408" w:type="dxa"/>
            <w:gridSpan w:val="2"/>
            <w:vAlign w:val="center"/>
          </w:tcPr>
          <w:p>
            <w:r>
              <w:t>{{CU_unit}}</w:t>
            </w:r>
          </w:p>
        </w:tc>
      </w:tr>
      <w:tr w:rsidR="009967D1" w14:paraId="700E92E1" w14:textId="77777777">
        <w:trPr>
          <w:trHeight w:val="1651"/>
          <w:jc w:val="center"/>
        </w:trPr>
        <w:tc>
          <w:tcPr>
            <w:tcW w:w="9653" w:type="dxa"/>
            <w:gridSpan w:val="11"/>
            <w:vAlign w:val="center"/>
          </w:tcPr>
          <w:p w14:paraId="50855C71" w14:textId="77777777" w:rsidR="009967D1" w:rsidRDefault="009967D1"/>
          <w:p w14:paraId="27384766" w14:textId="77777777" w:rsidR="009967D1" w:rsidRDefault="0080134E">
            <w:r>
              <w:rPr>
                <w:b/>
                <w:bCs/>
              </w:rPr>
              <w:t>Clinical Significance:</w:t>
            </w:r>
            <w:r>
              <w:t xml:space="preserve"> Participates in the synthesis of various enzymes (such as ceruloplasmin, superoxide dismutase), evaluates nutritional status, liver diseases, and genetic metabolic diseases (such as Wilson's disease).</w:t>
            </w:r>
          </w:p>
          <w:p w14:paraId="3517E08F" w14:textId="77777777" w:rsidR="009967D1" w:rsidRDefault="0080134E">
            <w:r>
              <w:rPr>
                <w:b/>
                <w:bCs/>
              </w:rPr>
              <w:t>临床意义：</w:t>
            </w:r>
            <w:r>
              <w:t>参与多种酶（如铜蓝蛋白、超氧化物歧化酶）合成，评估营养状态、肝脏疾病、遗传代谢病（如肝豆状核变性）。</w:t>
            </w:r>
          </w:p>
        </w:tc>
      </w:tr>
    </w:tbl>
    <w:p w14:paraId="7A25C622" w14:textId="77777777" w:rsidR="009967D1" w:rsidRDefault="009967D1" w:rsidP="004619DA">
      <w:pPr>
        <w:pStyle w:val="0"/>
      </w:pPr>
    </w:p>
    <w:p w14:paraId="162F050F"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1ACC6BF" w14:textId="77777777">
        <w:trPr>
          <w:trHeight w:hRule="exact" w:val="113"/>
          <w:jc w:val="center"/>
        </w:trPr>
        <w:tc>
          <w:tcPr>
            <w:tcW w:w="1560" w:type="dxa"/>
            <w:gridSpan w:val="2"/>
            <w:tcBorders>
              <w:top w:val="single" w:sz="4" w:space="0" w:color="auto"/>
            </w:tcBorders>
            <w:vAlign w:val="center"/>
          </w:tcPr>
          <w:p w14:paraId="24E1C9EC"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50C226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D91723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FD7477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0DCEBB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64B4BEE" w14:textId="77777777" w:rsidR="009967D1" w:rsidRDefault="009967D1">
            <w:pPr>
              <w:spacing w:line="300" w:lineRule="exact"/>
              <w:jc w:val="right"/>
              <w:rPr>
                <w:color w:val="323E4F" w:themeColor="text2" w:themeShade="BF"/>
                <w:sz w:val="2"/>
                <w:szCs w:val="2"/>
              </w:rPr>
            </w:pPr>
          </w:p>
        </w:tc>
      </w:tr>
      <w:tr w:rsidR="009967D1" w14:paraId="5C52DF8D" w14:textId="77777777">
        <w:trPr>
          <w:trHeight w:val="432"/>
          <w:jc w:val="center"/>
        </w:trPr>
        <w:tc>
          <w:tcPr>
            <w:tcW w:w="1150" w:type="dxa"/>
            <w:vAlign w:val="center"/>
          </w:tcPr>
          <w:p w14:paraId="6C516CB1" w14:textId="77777777" w:rsidR="009967D1" w:rsidRDefault="0080134E">
            <w:pPr>
              <w:spacing w:line="400" w:lineRule="exact"/>
              <w:jc w:val="center"/>
              <w:rPr>
                <w:b/>
                <w:bCs/>
                <w:color w:val="000000" w:themeColor="text1"/>
                <w:sz w:val="24"/>
              </w:rPr>
            </w:pPr>
            <w:r>
              <w:rPr>
                <w:rFonts w:hint="eastAsia"/>
                <w:b/>
                <w:bCs/>
                <w:color w:val="000000" w:themeColor="text1"/>
                <w:sz w:val="24"/>
              </w:rPr>
              <w:t>Zn</w:t>
            </w:r>
          </w:p>
        </w:tc>
        <w:tc>
          <w:tcPr>
            <w:tcW w:w="2536" w:type="dxa"/>
            <w:gridSpan w:val="2"/>
            <w:vAlign w:val="center"/>
          </w:tcPr>
          <w:p w14:paraId="0AC3C44E" w14:textId="77777777" w:rsidR="009967D1" w:rsidRDefault="0080134E">
            <w:pPr>
              <w:spacing w:line="400" w:lineRule="exact"/>
              <w:jc w:val="center"/>
              <w:rPr>
                <w:b/>
                <w:bCs/>
                <w:color w:val="000000" w:themeColor="text1"/>
                <w:sz w:val="24"/>
              </w:rPr>
            </w:pPr>
            <w:r>
              <w:rPr>
                <w:rFonts w:hint="eastAsia"/>
                <w:b/>
                <w:bCs/>
                <w:color w:val="000000" w:themeColor="text1"/>
                <w:sz w:val="24"/>
              </w:rPr>
              <w:t>全血微量元素锌</w:t>
            </w:r>
          </w:p>
        </w:tc>
        <w:tc>
          <w:tcPr>
            <w:tcW w:w="1754" w:type="dxa"/>
            <w:gridSpan w:val="2"/>
            <w:vAlign w:val="center"/>
          </w:tcPr>
          <w:p>
            <w:r>
              <w:t>{{ZN_result}}</w:t>
            </w:r>
          </w:p>
        </w:tc>
        <w:tc>
          <w:tcPr>
            <w:tcW w:w="825" w:type="dxa"/>
            <w:gridSpan w:val="2"/>
            <w:vAlign w:val="center"/>
          </w:tcPr>
          <w:p>
            <w:r>
              <w:t>{{ZN_point}}</w:t>
            </w:r>
          </w:p>
        </w:tc>
        <w:tc>
          <w:tcPr>
            <w:tcW w:w="1980" w:type="dxa"/>
            <w:gridSpan w:val="2"/>
            <w:vAlign w:val="center"/>
          </w:tcPr>
          <w:p>
            <w:r>
              <w:t>{{ZN_refer}}</w:t>
            </w:r>
          </w:p>
        </w:tc>
        <w:tc>
          <w:tcPr>
            <w:tcW w:w="1408" w:type="dxa"/>
            <w:gridSpan w:val="2"/>
            <w:vAlign w:val="center"/>
          </w:tcPr>
          <w:p>
            <w:r>
              <w:t>{{ZN_unit}}</w:t>
            </w:r>
          </w:p>
        </w:tc>
      </w:tr>
      <w:tr w:rsidR="009967D1" w14:paraId="18C04714" w14:textId="77777777">
        <w:trPr>
          <w:trHeight w:val="1651"/>
          <w:jc w:val="center"/>
        </w:trPr>
        <w:tc>
          <w:tcPr>
            <w:tcW w:w="9653" w:type="dxa"/>
            <w:gridSpan w:val="11"/>
            <w:vAlign w:val="center"/>
          </w:tcPr>
          <w:p w14:paraId="72571D87" w14:textId="77777777" w:rsidR="009967D1" w:rsidRDefault="009967D1"/>
          <w:p w14:paraId="1314C72C" w14:textId="77777777" w:rsidR="009967D1" w:rsidRDefault="0080134E">
            <w:r>
              <w:rPr>
                <w:b/>
                <w:bCs/>
              </w:rPr>
              <w:t>Clinical Significance:</w:t>
            </w:r>
            <w:r>
              <w:t xml:space="preserve"> Participates in growth and development, immune function, and substance metabolism, evaluates nutritional status, immune diseases, and hereditary zinc deficiency diseases.</w:t>
            </w:r>
          </w:p>
          <w:p w14:paraId="1F299184" w14:textId="77777777" w:rsidR="009967D1" w:rsidRDefault="0080134E">
            <w:r>
              <w:rPr>
                <w:b/>
                <w:bCs/>
              </w:rPr>
              <w:t>临床意义：</w:t>
            </w:r>
            <w:r>
              <w:t>参与生长发育、免疫功能、物质代谢，评估营养状态、免疫疾病、遗传性锌缺乏病。</w:t>
            </w:r>
          </w:p>
        </w:tc>
      </w:tr>
    </w:tbl>
    <w:p w14:paraId="237380BE" w14:textId="77777777" w:rsidR="009967D1" w:rsidRDefault="009967D1" w:rsidP="004619DA">
      <w:pPr>
        <w:pStyle w:val="0"/>
      </w:pPr>
    </w:p>
    <w:p w14:paraId="211EAE86"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35710D5" w14:textId="77777777">
        <w:trPr>
          <w:trHeight w:hRule="exact" w:val="113"/>
          <w:jc w:val="center"/>
        </w:trPr>
        <w:tc>
          <w:tcPr>
            <w:tcW w:w="1560" w:type="dxa"/>
            <w:gridSpan w:val="2"/>
            <w:tcBorders>
              <w:top w:val="single" w:sz="4" w:space="0" w:color="auto"/>
            </w:tcBorders>
            <w:vAlign w:val="center"/>
          </w:tcPr>
          <w:p w14:paraId="311A18AE"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131A86C"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9170F92"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4BD5A2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F38B5FA"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DAA24EA" w14:textId="77777777" w:rsidR="009967D1" w:rsidRDefault="009967D1">
            <w:pPr>
              <w:spacing w:line="300" w:lineRule="exact"/>
              <w:jc w:val="right"/>
              <w:rPr>
                <w:color w:val="323E4F" w:themeColor="text2" w:themeShade="BF"/>
                <w:sz w:val="2"/>
                <w:szCs w:val="2"/>
              </w:rPr>
            </w:pPr>
          </w:p>
        </w:tc>
      </w:tr>
      <w:tr w:rsidR="009967D1" w14:paraId="6FFEE9E7" w14:textId="77777777">
        <w:trPr>
          <w:trHeight w:val="432"/>
          <w:jc w:val="center"/>
        </w:trPr>
        <w:tc>
          <w:tcPr>
            <w:tcW w:w="1150" w:type="dxa"/>
            <w:vAlign w:val="center"/>
          </w:tcPr>
          <w:p w14:paraId="2E2D7D8B" w14:textId="77777777" w:rsidR="009967D1" w:rsidRDefault="0080134E">
            <w:pPr>
              <w:spacing w:line="400" w:lineRule="exact"/>
              <w:jc w:val="center"/>
              <w:rPr>
                <w:b/>
                <w:bCs/>
                <w:color w:val="000000" w:themeColor="text1"/>
                <w:sz w:val="24"/>
              </w:rPr>
            </w:pPr>
            <w:r>
              <w:rPr>
                <w:rFonts w:hint="eastAsia"/>
                <w:b/>
                <w:bCs/>
                <w:color w:val="000000" w:themeColor="text1"/>
                <w:sz w:val="24"/>
              </w:rPr>
              <w:t>Mg</w:t>
            </w:r>
          </w:p>
        </w:tc>
        <w:tc>
          <w:tcPr>
            <w:tcW w:w="2536" w:type="dxa"/>
            <w:gridSpan w:val="2"/>
            <w:vAlign w:val="center"/>
          </w:tcPr>
          <w:p w14:paraId="2235FFE2" w14:textId="77777777" w:rsidR="009967D1" w:rsidRDefault="0080134E">
            <w:pPr>
              <w:spacing w:line="400" w:lineRule="exact"/>
              <w:jc w:val="center"/>
              <w:rPr>
                <w:b/>
                <w:bCs/>
                <w:color w:val="000000" w:themeColor="text1"/>
                <w:sz w:val="24"/>
              </w:rPr>
            </w:pPr>
            <w:r>
              <w:rPr>
                <w:rFonts w:hint="eastAsia"/>
                <w:b/>
                <w:bCs/>
                <w:color w:val="000000" w:themeColor="text1"/>
                <w:sz w:val="24"/>
              </w:rPr>
              <w:t>全血微量元素镁</w:t>
            </w:r>
          </w:p>
        </w:tc>
        <w:tc>
          <w:tcPr>
            <w:tcW w:w="1754" w:type="dxa"/>
            <w:gridSpan w:val="2"/>
            <w:vAlign w:val="center"/>
          </w:tcPr>
          <w:p>
            <w:r>
              <w:t>{{MG_result}}</w:t>
            </w:r>
          </w:p>
        </w:tc>
        <w:tc>
          <w:tcPr>
            <w:tcW w:w="825" w:type="dxa"/>
            <w:gridSpan w:val="2"/>
            <w:vAlign w:val="center"/>
          </w:tcPr>
          <w:p>
            <w:r>
              <w:t>{{MG_point}}</w:t>
            </w:r>
          </w:p>
        </w:tc>
        <w:tc>
          <w:tcPr>
            <w:tcW w:w="1980" w:type="dxa"/>
            <w:gridSpan w:val="2"/>
            <w:vAlign w:val="center"/>
          </w:tcPr>
          <w:p>
            <w:r>
              <w:t>{{MG_refer}}</w:t>
            </w:r>
          </w:p>
        </w:tc>
        <w:tc>
          <w:tcPr>
            <w:tcW w:w="1408" w:type="dxa"/>
            <w:gridSpan w:val="2"/>
            <w:vAlign w:val="center"/>
          </w:tcPr>
          <w:p>
            <w:r>
              <w:t>{{MG_unit}}</w:t>
            </w:r>
          </w:p>
        </w:tc>
      </w:tr>
      <w:tr w:rsidR="009967D1" w14:paraId="4FD7C8DD" w14:textId="77777777">
        <w:trPr>
          <w:trHeight w:val="1651"/>
          <w:jc w:val="center"/>
        </w:trPr>
        <w:tc>
          <w:tcPr>
            <w:tcW w:w="9653" w:type="dxa"/>
            <w:gridSpan w:val="11"/>
            <w:vAlign w:val="center"/>
          </w:tcPr>
          <w:p w14:paraId="21603F4D" w14:textId="77777777" w:rsidR="009967D1" w:rsidRDefault="009967D1"/>
          <w:p w14:paraId="04693488" w14:textId="77777777" w:rsidR="009967D1" w:rsidRDefault="0080134E">
            <w:r>
              <w:rPr>
                <w:b/>
                <w:bCs/>
              </w:rPr>
              <w:t>Clinical Significance:</w:t>
            </w:r>
            <w:r>
              <w:t xml:space="preserve"> Participates in enzyme activity, neuromuscular function, and bone metabolism, evaluates electrolyte balance and nutritional status.</w:t>
            </w:r>
          </w:p>
          <w:p w14:paraId="53110ACA" w14:textId="77777777" w:rsidR="009967D1" w:rsidRDefault="0080134E">
            <w:r>
              <w:rPr>
                <w:b/>
                <w:bCs/>
              </w:rPr>
              <w:t>临床意义：</w:t>
            </w:r>
            <w:r>
              <w:t>参与酶活性、神经肌肉功能、骨代谢，评估电解质平衡、营养状态。</w:t>
            </w:r>
          </w:p>
        </w:tc>
      </w:tr>
    </w:tbl>
    <w:p w14:paraId="2441AC31" w14:textId="77777777" w:rsidR="009967D1" w:rsidRDefault="009967D1" w:rsidP="004619DA">
      <w:pPr>
        <w:pStyle w:val="0"/>
      </w:pPr>
    </w:p>
    <w:p w14:paraId="0677887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7F7FDFF" w14:textId="77777777">
        <w:trPr>
          <w:trHeight w:hRule="exact" w:val="113"/>
          <w:jc w:val="center"/>
        </w:trPr>
        <w:tc>
          <w:tcPr>
            <w:tcW w:w="1560" w:type="dxa"/>
            <w:gridSpan w:val="2"/>
            <w:tcBorders>
              <w:top w:val="single" w:sz="4" w:space="0" w:color="auto"/>
            </w:tcBorders>
            <w:vAlign w:val="center"/>
          </w:tcPr>
          <w:p w14:paraId="32BB7E66"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DECCCD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07C5B3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DC4C69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102843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897F0A6" w14:textId="77777777" w:rsidR="009967D1" w:rsidRDefault="009967D1">
            <w:pPr>
              <w:spacing w:line="300" w:lineRule="exact"/>
              <w:jc w:val="right"/>
              <w:rPr>
                <w:color w:val="323E4F" w:themeColor="text2" w:themeShade="BF"/>
                <w:sz w:val="2"/>
                <w:szCs w:val="2"/>
              </w:rPr>
            </w:pPr>
          </w:p>
        </w:tc>
      </w:tr>
      <w:tr w:rsidR="009967D1" w14:paraId="344BC849" w14:textId="77777777">
        <w:trPr>
          <w:trHeight w:val="432"/>
          <w:jc w:val="center"/>
        </w:trPr>
        <w:tc>
          <w:tcPr>
            <w:tcW w:w="1150" w:type="dxa"/>
            <w:vAlign w:val="center"/>
          </w:tcPr>
          <w:p w14:paraId="7FD81CD7" w14:textId="77777777" w:rsidR="009967D1" w:rsidRDefault="0080134E">
            <w:pPr>
              <w:spacing w:line="400" w:lineRule="exact"/>
              <w:jc w:val="center"/>
              <w:rPr>
                <w:b/>
                <w:bCs/>
                <w:color w:val="000000" w:themeColor="text1"/>
                <w:sz w:val="24"/>
              </w:rPr>
            </w:pPr>
            <w:r>
              <w:rPr>
                <w:rFonts w:hint="eastAsia"/>
                <w:b/>
                <w:bCs/>
                <w:color w:val="000000" w:themeColor="text1"/>
                <w:sz w:val="24"/>
              </w:rPr>
              <w:t>Fe</w:t>
            </w:r>
          </w:p>
        </w:tc>
        <w:tc>
          <w:tcPr>
            <w:tcW w:w="2536" w:type="dxa"/>
            <w:gridSpan w:val="2"/>
            <w:vAlign w:val="center"/>
          </w:tcPr>
          <w:p w14:paraId="20D75207" w14:textId="77777777" w:rsidR="009967D1" w:rsidRDefault="0080134E">
            <w:pPr>
              <w:spacing w:line="400" w:lineRule="exact"/>
              <w:jc w:val="center"/>
              <w:rPr>
                <w:b/>
                <w:bCs/>
                <w:color w:val="000000" w:themeColor="text1"/>
                <w:sz w:val="24"/>
              </w:rPr>
            </w:pPr>
            <w:r>
              <w:rPr>
                <w:rFonts w:hint="eastAsia"/>
                <w:b/>
                <w:bCs/>
                <w:color w:val="000000" w:themeColor="text1"/>
                <w:sz w:val="24"/>
              </w:rPr>
              <w:t>全血微量元素铁</w:t>
            </w:r>
          </w:p>
        </w:tc>
        <w:tc>
          <w:tcPr>
            <w:tcW w:w="1754" w:type="dxa"/>
            <w:gridSpan w:val="2"/>
            <w:vAlign w:val="center"/>
          </w:tcPr>
          <w:p>
            <w:r>
              <w:t>{{FE_result}}</w:t>
            </w:r>
          </w:p>
        </w:tc>
        <w:tc>
          <w:tcPr>
            <w:tcW w:w="825" w:type="dxa"/>
            <w:gridSpan w:val="2"/>
            <w:vAlign w:val="center"/>
          </w:tcPr>
          <w:p>
            <w:r>
              <w:t>{{FE_point}}</w:t>
            </w:r>
          </w:p>
        </w:tc>
        <w:tc>
          <w:tcPr>
            <w:tcW w:w="1980" w:type="dxa"/>
            <w:gridSpan w:val="2"/>
            <w:vAlign w:val="center"/>
          </w:tcPr>
          <w:p>
            <w:r>
              <w:t>{{FE_refer}}</w:t>
            </w:r>
          </w:p>
        </w:tc>
        <w:tc>
          <w:tcPr>
            <w:tcW w:w="1408" w:type="dxa"/>
            <w:gridSpan w:val="2"/>
            <w:vAlign w:val="center"/>
          </w:tcPr>
          <w:p>
            <w:r>
              <w:t>{{FE_unit}}</w:t>
            </w:r>
          </w:p>
        </w:tc>
      </w:tr>
      <w:tr w:rsidR="009967D1" w14:paraId="76635352" w14:textId="77777777">
        <w:trPr>
          <w:trHeight w:val="1651"/>
          <w:jc w:val="center"/>
        </w:trPr>
        <w:tc>
          <w:tcPr>
            <w:tcW w:w="9653" w:type="dxa"/>
            <w:gridSpan w:val="11"/>
            <w:vAlign w:val="center"/>
          </w:tcPr>
          <w:p w14:paraId="5A4F6AF0" w14:textId="77777777" w:rsidR="009967D1" w:rsidRDefault="009967D1"/>
          <w:p w14:paraId="33C671E6" w14:textId="77777777" w:rsidR="009967D1" w:rsidRDefault="0080134E">
            <w:r>
              <w:rPr>
                <w:b/>
                <w:bCs/>
              </w:rPr>
              <w:t>Clinical Significance:</w:t>
            </w:r>
            <w:r>
              <w:t xml:space="preserve"> Participates in hemoglobin synthesis and oxygen transport, evaluates iron - deficiency anemia and iron overload (such as hemochromatosis).</w:t>
            </w:r>
          </w:p>
          <w:p w14:paraId="5F0C4FEE" w14:textId="77777777" w:rsidR="009967D1" w:rsidRDefault="0080134E">
            <w:r>
              <w:rPr>
                <w:b/>
                <w:bCs/>
              </w:rPr>
              <w:t>临床意义：</w:t>
            </w:r>
            <w:r>
              <w:t>参与血红蛋白合成、氧运输，评估缺铁性贫血、铁过载（如血色病）。</w:t>
            </w:r>
          </w:p>
        </w:tc>
      </w:tr>
      <w:tr>
        <w:tc>
          <w:tcPr>
            <w:tcW w:type="dxa" w:w="1150"/>
          </w:tcPr>
          <w:p>
            <w:r>
              <w:t>Ferritin</w:t>
            </w:r>
          </w:p>
        </w:tc>
        <w:tc>
          <w:tcPr>
            <w:tcW w:type="dxa" w:w="410"/>
          </w:tcPr>
          <w:p>
            <w:r>
              <w:t>Ferritin</w:t>
            </w:r>
          </w:p>
        </w:tc>
        <w:tc>
          <w:tcPr>
            <w:tcW w:type="dxa" w:w="2126"/>
          </w:tcPr>
          <w:p/>
        </w:tc>
        <w:tc>
          <w:tcPr>
            <w:tcW w:type="dxa" w:w="1701"/>
          </w:tcPr>
          <w:p/>
        </w:tc>
        <w:tc>
          <w:tcPr>
            <w:tcW w:type="dxa" w:w="53"/>
          </w:tcPr>
          <w:p/>
        </w:tc>
        <w:tc>
          <w:tcPr>
            <w:tcW w:type="dxa" w:w="797"/>
          </w:tcPr>
          <w:p/>
        </w:tc>
        <w:tc>
          <w:tcPr>
            <w:tcW w:type="dxa" w:w="28"/>
          </w:tcPr>
          <w:p/>
        </w:tc>
        <w:tc>
          <w:tcPr>
            <w:tcW w:type="dxa" w:w="681"/>
          </w:tcPr>
          <w:p/>
        </w:tc>
        <w:tc>
          <w:tcPr>
            <w:tcW w:type="dxa" w:w="1299"/>
          </w:tcPr>
          <w:p/>
        </w:tc>
        <w:tc>
          <w:tcPr>
            <w:tcW w:type="dxa" w:w="686"/>
          </w:tcPr>
          <w:p/>
        </w:tc>
        <w:tc>
          <w:tcPr>
            <w:tcW w:type="dxa" w:w="722"/>
          </w:tcPr>
          <w:p/>
        </w:tc>
      </w:tr>
    </w:tbl>
    <w:p w14:paraId="5B806646"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67E08470" w14:textId="2EF51EDC" w:rsidR="009967D1" w:rsidRDefault="0037193A" w:rsidP="00A642C1">
      <w:pPr>
        <w:pStyle w:val="3-"/>
      </w:pPr>
      <w:r w:rsidRPr="0037193A">
        <w:lastRenderedPageBreak/>
        <w:t xml:space="preserve">Lymphocyto </w:t>
      </w:r>
      <w:r>
        <w:t>S</w:t>
      </w:r>
      <w:r w:rsidRPr="0037193A">
        <w:t>ubpopulation</w:t>
      </w:r>
      <w:r>
        <w:br/>
      </w:r>
      <w:r w:rsidR="0080134E">
        <w:rPr>
          <w:rFonts w:hint="eastAsia"/>
        </w:rPr>
        <w:t>淋巴细胞亚群</w:t>
      </w:r>
    </w:p>
    <w:p w14:paraId="591DA517" w14:textId="77777777" w:rsidR="00A81407" w:rsidRDefault="00A81407" w:rsidP="00A81407">
      <w:pPr>
        <w:pStyle w:val="0"/>
      </w:pPr>
    </w:p>
    <w:p w14:paraId="52CC8869" w14:textId="6AD271F8" w:rsidR="00A81407" w:rsidRDefault="00A81407" w:rsidP="00A81407">
      <w:pPr>
        <w:pStyle w:val="00"/>
      </w:pPr>
      <w:r w:rsidRPr="00A81407">
        <w:t>Lymphocyte subpopulation testing is a crucial laboratory evaluation for assessing immune system function. The primary indicators include T lymphocytes (CD3+), helper T cells (CD4+), and cytotoxic T cells (CD8+). By analyzing the number and proportion of these subgroups, the test provides direct insights into immune regulation and the body’s ability to fight infections and tumors.</w:t>
      </w:r>
    </w:p>
    <w:p w14:paraId="6F1FE349" w14:textId="15A2F4B5" w:rsidR="00A81407" w:rsidRDefault="00A81407" w:rsidP="00A81407">
      <w:pPr>
        <w:pStyle w:val="0"/>
      </w:pPr>
      <w:r>
        <w:t>淋巴细胞亚群检测是评估免疫系统功能的重要实验室检查，主要包括</w:t>
      </w:r>
      <w:r>
        <w:t>T</w:t>
      </w:r>
      <w:r>
        <w:t>淋巴细胞（</w:t>
      </w:r>
      <w:r>
        <w:t>CD3+</w:t>
      </w:r>
      <w:r>
        <w:t>）、辅助性</w:t>
      </w:r>
      <w:r>
        <w:t>T</w:t>
      </w:r>
      <w:r>
        <w:t>细胞（</w:t>
      </w:r>
      <w:r>
        <w:t>CD4+</w:t>
      </w:r>
      <w:r>
        <w:t>）、细胞毒性</w:t>
      </w:r>
      <w:r>
        <w:t>T</w:t>
      </w:r>
      <w:r>
        <w:t>细胞（</w:t>
      </w:r>
      <w:r>
        <w:t>CD8+</w:t>
      </w:r>
      <w:r>
        <w:t>）等指标。通过对不同类型淋巴细胞的数量与比例进行分析，可以直观反映机体的免疫调节能力和抗感染、防肿瘤功能。</w:t>
      </w:r>
    </w:p>
    <w:p w14:paraId="355F5870" w14:textId="65F4FD7F" w:rsidR="00A81407" w:rsidRDefault="00A81407" w:rsidP="00A81407">
      <w:pPr>
        <w:pStyle w:val="00"/>
      </w:pPr>
      <w:r w:rsidRPr="00A81407">
        <w:t>CD3+ T lymphocytes represent the overall T cell population and form the foundation of cellular immunity. CD4+ helper T cells play a regulatory role, activating other immune cells such as B cells and macrophages, and are essential for antibody production and pathogen clearance. CD8+ cytotoxic T cells function as the body’s “eliminators,” directly destroying virus-infected or malignant cells. The CD4+/CD8+ ratio is often used as an important reference for immune balance, with abnormalities indicating immune dysfunction, such as infection, immunodeficiency, or autoimmune disease.</w:t>
      </w:r>
    </w:p>
    <w:p w14:paraId="25D09057" w14:textId="23F70744" w:rsidR="00A81407" w:rsidRDefault="00A81407" w:rsidP="00A81407">
      <w:pPr>
        <w:pStyle w:val="0"/>
      </w:pPr>
      <w:r>
        <w:t>CD3+ T</w:t>
      </w:r>
      <w:r>
        <w:t>淋巴细胞代表</w:t>
      </w:r>
      <w:r>
        <w:t>T</w:t>
      </w:r>
      <w:r>
        <w:t>细胞的总体水平，是细胞免疫功能的基础。</w:t>
      </w:r>
      <w:r>
        <w:t>CD4+</w:t>
      </w:r>
      <w:r>
        <w:t>辅助</w:t>
      </w:r>
      <w:r>
        <w:t>T</w:t>
      </w:r>
      <w:r>
        <w:t>细胞在免疫系统中发挥</w:t>
      </w:r>
      <w:r>
        <w:t>“</w:t>
      </w:r>
      <w:r>
        <w:t>指挥官</w:t>
      </w:r>
      <w:r>
        <w:t>”</w:t>
      </w:r>
      <w:r>
        <w:t>的作用，能够激活和调节其他免疫细胞（如</w:t>
      </w:r>
      <w:r>
        <w:t>B</w:t>
      </w:r>
      <w:r>
        <w:t>细胞、巨噬细胞），对机体产生抗体和清除病原体至关重要。</w:t>
      </w:r>
      <w:r>
        <w:t>CD8+</w:t>
      </w:r>
      <w:r>
        <w:t>细胞毒性</w:t>
      </w:r>
      <w:r>
        <w:t>T</w:t>
      </w:r>
      <w:r>
        <w:t>细胞则主要负责直接杀伤被病毒感染或发生癌变的细胞，是机体的</w:t>
      </w:r>
      <w:r>
        <w:t>“</w:t>
      </w:r>
      <w:r>
        <w:t>清除者</w:t>
      </w:r>
      <w:r>
        <w:t>”</w:t>
      </w:r>
      <w:r>
        <w:t>。</w:t>
      </w:r>
      <w:r>
        <w:t>CD4+/CD8+</w:t>
      </w:r>
      <w:r>
        <w:t>比例常被作为免疫系统平衡的重要参考，失衡可能提示免疫功能异常，如感染、免疫缺陷或自身免疫性疾病。</w:t>
      </w:r>
    </w:p>
    <w:p w14:paraId="4D3E104D" w14:textId="753C659A" w:rsidR="00A81407" w:rsidRDefault="00A81407" w:rsidP="00A81407">
      <w:pPr>
        <w:pStyle w:val="00"/>
      </w:pPr>
      <w:r w:rsidRPr="00A81407">
        <w:t>Clinically and in health management, lymphocyte subpopulation testing is widely applied in populations with immune suppression (such as chronic fatigue or recurrent infections), chronic diseases, cancer patients, post-transplant monitoring, and HIV-infected individuals. Regular monitoring helps evaluate whether immune function is within the normal range and guides interventions such as immune modulation, nutritional support, or therapeutic adjustments.</w:t>
      </w:r>
    </w:p>
    <w:p w14:paraId="2FAE4754" w14:textId="61044ABD" w:rsidR="00A81407" w:rsidRDefault="00A81407" w:rsidP="00A81407">
      <w:pPr>
        <w:pStyle w:val="0"/>
      </w:pPr>
      <w:r>
        <w:t>在临床和健康管理中，淋巴细胞亚群检测广泛应用于免疫功能低下人群（如长期疲劳、反复感染者）、慢性病患者、肿瘤患者、移植术后人群及艾滋病感染者的监测。通过定期检测，可以帮助医生评估免疫功能是否处于正常状态，并指导免疫调节、营养支持或相关治疗。</w:t>
      </w:r>
    </w:p>
    <w:p w14:paraId="57A9A901" w14:textId="3CD92DE5" w:rsidR="00272239" w:rsidRDefault="00272239" w:rsidP="00A81407">
      <w:pPr>
        <w:pStyle w:val="0"/>
      </w:pPr>
      <w:r w:rsidRPr="009E1205">
        <w:rPr>
          <w:noProof/>
        </w:rPr>
        <w:drawing>
          <wp:anchor distT="0" distB="0" distL="114300" distR="114300" simplePos="0" relativeHeight="251693056" behindDoc="0" locked="0" layoutInCell="1" allowOverlap="1" wp14:anchorId="0431C687" wp14:editId="3BABD419">
            <wp:simplePos x="0" y="0"/>
            <wp:positionH relativeFrom="column">
              <wp:posOffset>1857</wp:posOffset>
            </wp:positionH>
            <wp:positionV relativeFrom="paragraph">
              <wp:posOffset>5473</wp:posOffset>
            </wp:positionV>
            <wp:extent cx="6078765" cy="2361235"/>
            <wp:effectExtent l="0" t="0" r="5080" b="1270"/>
            <wp:wrapNone/>
            <wp:docPr id="2260874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087404" name="图片 1"/>
                    <pic:cNvPicPr/>
                  </pic:nvPicPr>
                  <pic:blipFill rotWithShape="1">
                    <a:blip r:embed="rId28">
                      <a:extLst>
                        <a:ext uri="{28A0092B-C50C-407E-A947-70E740481C1C}">
                          <a14:useLocalDpi xmlns:a14="http://schemas.microsoft.com/office/drawing/2010/main" val="0"/>
                        </a:ext>
                      </a:extLst>
                    </a:blip>
                    <a:srcRect l="-4" r="4" b="54150"/>
                    <a:stretch>
                      <a:fillRect/>
                    </a:stretch>
                  </pic:blipFill>
                  <pic:spPr bwMode="auto">
                    <a:xfrm>
                      <a:off x="0" y="0"/>
                      <a:ext cx="6080125" cy="236176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D138569" w14:textId="59DAE03B" w:rsidR="00A81407" w:rsidRDefault="00A81407" w:rsidP="00A81407">
      <w:pPr>
        <w:pStyle w:val="0"/>
      </w:pPr>
    </w:p>
    <w:p w14:paraId="5D6D69BD" w14:textId="77777777" w:rsidR="00A81407" w:rsidRPr="00A81407" w:rsidRDefault="00A81407" w:rsidP="00A81407">
      <w:pPr>
        <w:pStyle w:val="0"/>
      </w:pPr>
    </w:p>
    <w:p w14:paraId="3FC3B888" w14:textId="77777777" w:rsidR="009967D1" w:rsidRDefault="0080134E">
      <w:pPr>
        <w:widowControl/>
        <w:jc w:val="left"/>
      </w:pPr>
      <w:r>
        <w:br w:type="page"/>
      </w:r>
    </w:p>
    <w:p w14:paraId="528B1AF6"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417C5A7" w14:textId="77777777">
        <w:trPr>
          <w:trHeight w:val="839"/>
          <w:jc w:val="center"/>
        </w:trPr>
        <w:tc>
          <w:tcPr>
            <w:tcW w:w="1150" w:type="dxa"/>
            <w:tcBorders>
              <w:top w:val="single" w:sz="4" w:space="0" w:color="auto"/>
              <w:bottom w:val="single" w:sz="4" w:space="0" w:color="auto"/>
            </w:tcBorders>
            <w:vAlign w:val="center"/>
          </w:tcPr>
          <w:p w14:paraId="3D963C3D"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4791C714"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3E8F18B7"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12B40524"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1F35F5B2"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741F694E"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654D1611" w14:textId="77777777">
        <w:trPr>
          <w:trHeight w:val="1111"/>
          <w:jc w:val="center"/>
        </w:trPr>
        <w:tc>
          <w:tcPr>
            <w:tcW w:w="9653" w:type="dxa"/>
            <w:gridSpan w:val="11"/>
            <w:tcBorders>
              <w:top w:val="single" w:sz="4" w:space="0" w:color="auto"/>
              <w:bottom w:val="single" w:sz="4" w:space="0" w:color="auto"/>
            </w:tcBorders>
            <w:vAlign w:val="center"/>
          </w:tcPr>
          <w:p w14:paraId="4F067C4C" w14:textId="5CB59ACD"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Lymphocyto </w:t>
            </w:r>
            <w:r w:rsidR="00D758D1">
              <w:rPr>
                <w:b/>
                <w:bCs/>
                <w:color w:val="323E4F" w:themeColor="text2" w:themeShade="BF"/>
                <w:sz w:val="32"/>
                <w:szCs w:val="32"/>
              </w:rPr>
              <w:t>S</w:t>
            </w:r>
            <w:r>
              <w:rPr>
                <w:rFonts w:hint="eastAsia"/>
                <w:b/>
                <w:bCs/>
                <w:color w:val="323E4F" w:themeColor="text2" w:themeShade="BF"/>
                <w:sz w:val="32"/>
                <w:szCs w:val="32"/>
              </w:rPr>
              <w:t>ubpopulation</w:t>
            </w:r>
          </w:p>
          <w:p w14:paraId="46DB475A"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淋巴细胞亚群</w:t>
            </w:r>
          </w:p>
        </w:tc>
      </w:tr>
      <w:tr w:rsidR="009967D1" w14:paraId="4FBEDB69" w14:textId="77777777">
        <w:trPr>
          <w:trHeight w:hRule="exact" w:val="113"/>
          <w:jc w:val="center"/>
        </w:trPr>
        <w:tc>
          <w:tcPr>
            <w:tcW w:w="1560" w:type="dxa"/>
            <w:gridSpan w:val="2"/>
            <w:tcBorders>
              <w:top w:val="single" w:sz="4" w:space="0" w:color="auto"/>
            </w:tcBorders>
            <w:vAlign w:val="center"/>
          </w:tcPr>
          <w:p w14:paraId="59548A3A"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B47BD2C"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A30FC4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44A171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964A02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460C6FE" w14:textId="77777777" w:rsidR="009967D1" w:rsidRDefault="009967D1">
            <w:pPr>
              <w:spacing w:line="300" w:lineRule="exact"/>
              <w:jc w:val="right"/>
              <w:rPr>
                <w:color w:val="323E4F" w:themeColor="text2" w:themeShade="BF"/>
                <w:sz w:val="2"/>
                <w:szCs w:val="2"/>
              </w:rPr>
            </w:pPr>
          </w:p>
        </w:tc>
      </w:tr>
      <w:tr w:rsidR="009967D1" w14:paraId="637A9366" w14:textId="77777777">
        <w:trPr>
          <w:trHeight w:val="432"/>
          <w:jc w:val="center"/>
        </w:trPr>
        <w:tc>
          <w:tcPr>
            <w:tcW w:w="1150" w:type="dxa"/>
            <w:vAlign w:val="center"/>
          </w:tcPr>
          <w:p w14:paraId="67F41C84" w14:textId="77777777" w:rsidR="009967D1" w:rsidRDefault="0080134E">
            <w:pPr>
              <w:spacing w:line="400" w:lineRule="exact"/>
              <w:jc w:val="center"/>
              <w:rPr>
                <w:b/>
                <w:bCs/>
                <w:color w:val="000000" w:themeColor="text1"/>
                <w:sz w:val="24"/>
              </w:rPr>
            </w:pPr>
            <w:r>
              <w:rPr>
                <w:rFonts w:hint="eastAsia"/>
                <w:b/>
                <w:bCs/>
                <w:color w:val="000000" w:themeColor="text1"/>
                <w:sz w:val="24"/>
              </w:rPr>
              <w:t>CD3+</w:t>
            </w:r>
          </w:p>
        </w:tc>
        <w:tc>
          <w:tcPr>
            <w:tcW w:w="2536" w:type="dxa"/>
            <w:gridSpan w:val="2"/>
            <w:vAlign w:val="center"/>
          </w:tcPr>
          <w:p w14:paraId="1AF6D7D6" w14:textId="77777777" w:rsidR="009967D1" w:rsidRDefault="0080134E">
            <w:pPr>
              <w:spacing w:line="400" w:lineRule="exact"/>
              <w:jc w:val="center"/>
              <w:rPr>
                <w:b/>
                <w:bCs/>
                <w:color w:val="000000" w:themeColor="text1"/>
                <w:sz w:val="24"/>
              </w:rPr>
            </w:pPr>
            <w:r>
              <w:rPr>
                <w:rFonts w:hint="eastAsia"/>
                <w:b/>
                <w:bCs/>
                <w:color w:val="000000" w:themeColor="text1"/>
                <w:sz w:val="24"/>
              </w:rPr>
              <w:t>T淋巴细胞</w:t>
            </w:r>
          </w:p>
        </w:tc>
        <w:tc>
          <w:tcPr>
            <w:tcW w:w="1754" w:type="dxa"/>
            <w:gridSpan w:val="2"/>
            <w:vAlign w:val="center"/>
          </w:tcPr>
          <w:p w14:paraId="0AC2E518" w14:textId="77777777" w:rsidR="009967D1" w:rsidRDefault="009967D1">
            <w:pPr>
              <w:spacing w:line="400" w:lineRule="exact"/>
              <w:jc w:val="center"/>
              <w:rPr>
                <w:b/>
                <w:bCs/>
                <w:color w:val="000000" w:themeColor="text1"/>
                <w:sz w:val="24"/>
              </w:rPr>
            </w:pPr>
          </w:p>
        </w:tc>
        <w:tc>
          <w:tcPr>
            <w:tcW w:w="825" w:type="dxa"/>
            <w:gridSpan w:val="2"/>
            <w:vAlign w:val="center"/>
          </w:tcPr>
          <w:p w14:paraId="71DB6D9B" w14:textId="77777777" w:rsidR="009967D1" w:rsidRDefault="009967D1">
            <w:pPr>
              <w:spacing w:line="400" w:lineRule="exact"/>
              <w:jc w:val="center"/>
              <w:rPr>
                <w:b/>
                <w:bCs/>
                <w:color w:val="000000" w:themeColor="text1"/>
                <w:sz w:val="24"/>
              </w:rPr>
            </w:pPr>
          </w:p>
        </w:tc>
        <w:tc>
          <w:tcPr>
            <w:tcW w:w="1980" w:type="dxa"/>
            <w:gridSpan w:val="2"/>
            <w:vAlign w:val="center"/>
          </w:tcPr>
          <w:p w14:paraId="0A08D3BD" w14:textId="77777777" w:rsidR="009967D1" w:rsidRDefault="009967D1">
            <w:pPr>
              <w:spacing w:line="400" w:lineRule="exact"/>
              <w:jc w:val="center"/>
              <w:rPr>
                <w:b/>
                <w:bCs/>
                <w:color w:val="000000" w:themeColor="text1"/>
                <w:sz w:val="24"/>
              </w:rPr>
            </w:pPr>
          </w:p>
        </w:tc>
        <w:tc>
          <w:tcPr>
            <w:tcW w:w="1408" w:type="dxa"/>
            <w:gridSpan w:val="2"/>
            <w:vAlign w:val="center"/>
          </w:tcPr>
          <w:p w14:paraId="0FAFB9E1" w14:textId="77777777" w:rsidR="009967D1" w:rsidRDefault="009967D1">
            <w:pPr>
              <w:spacing w:line="400" w:lineRule="exact"/>
              <w:jc w:val="center"/>
              <w:rPr>
                <w:b/>
                <w:bCs/>
                <w:color w:val="000000" w:themeColor="text1"/>
                <w:sz w:val="24"/>
              </w:rPr>
            </w:pPr>
          </w:p>
        </w:tc>
      </w:tr>
      <w:tr w:rsidR="009967D1" w14:paraId="0AD76095" w14:textId="77777777">
        <w:trPr>
          <w:trHeight w:val="1651"/>
          <w:jc w:val="center"/>
        </w:trPr>
        <w:tc>
          <w:tcPr>
            <w:tcW w:w="9653" w:type="dxa"/>
            <w:gridSpan w:val="11"/>
            <w:vAlign w:val="center"/>
          </w:tcPr>
          <w:p w14:paraId="7075A5C4" w14:textId="77777777" w:rsidR="009967D1" w:rsidRDefault="009967D1"/>
          <w:p w14:paraId="6C6537C0" w14:textId="77777777" w:rsidR="009967D1" w:rsidRDefault="0080134E">
            <w:r>
              <w:rPr>
                <w:b/>
                <w:bCs/>
              </w:rPr>
              <w:t>Clinical Significance:</w:t>
            </w:r>
            <w:r>
              <w:t xml:space="preserve"> Reflects the total number of T cells, evaluates cellular immune function, and assists in the diagnosis of immunodeficiency diseases, autoimmune diseases, and tumor immune status.</w:t>
            </w:r>
          </w:p>
          <w:p w14:paraId="0218C201" w14:textId="77777777" w:rsidR="009967D1" w:rsidRDefault="0080134E">
            <w:r>
              <w:rPr>
                <w:b/>
                <w:bCs/>
              </w:rPr>
              <w:t>临床意义：</w:t>
            </w:r>
            <w:r>
              <w:t>反映总T细胞数量，评估细胞免疫功能，辅助诊断免疫缺陷病、自身免疫病、肿瘤免疫状态</w:t>
            </w:r>
            <w:r>
              <w:rPr>
                <w:rFonts w:hint="eastAsia"/>
              </w:rPr>
              <w:t>。</w:t>
            </w:r>
          </w:p>
        </w:tc>
      </w:tr>
    </w:tbl>
    <w:p w14:paraId="03A0DACC" w14:textId="77777777" w:rsidR="009967D1" w:rsidRDefault="009967D1" w:rsidP="004619DA">
      <w:pPr>
        <w:pStyle w:val="0"/>
      </w:pPr>
    </w:p>
    <w:p w14:paraId="4CF68417"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0F3E79E" w14:textId="77777777">
        <w:trPr>
          <w:trHeight w:hRule="exact" w:val="113"/>
          <w:jc w:val="center"/>
        </w:trPr>
        <w:tc>
          <w:tcPr>
            <w:tcW w:w="1560" w:type="dxa"/>
            <w:gridSpan w:val="2"/>
            <w:tcBorders>
              <w:top w:val="single" w:sz="4" w:space="0" w:color="auto"/>
            </w:tcBorders>
            <w:vAlign w:val="center"/>
          </w:tcPr>
          <w:p w14:paraId="28363596"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2B2762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36BE559"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D4A7B18"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D6139E8"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5F77296" w14:textId="77777777" w:rsidR="009967D1" w:rsidRDefault="009967D1">
            <w:pPr>
              <w:spacing w:line="300" w:lineRule="exact"/>
              <w:jc w:val="right"/>
              <w:rPr>
                <w:color w:val="323E4F" w:themeColor="text2" w:themeShade="BF"/>
                <w:sz w:val="2"/>
                <w:szCs w:val="2"/>
              </w:rPr>
            </w:pPr>
          </w:p>
        </w:tc>
      </w:tr>
      <w:tr w:rsidR="009967D1" w14:paraId="6BE83602" w14:textId="77777777">
        <w:trPr>
          <w:trHeight w:val="432"/>
          <w:jc w:val="center"/>
        </w:trPr>
        <w:tc>
          <w:tcPr>
            <w:tcW w:w="1150" w:type="dxa"/>
            <w:vAlign w:val="center"/>
          </w:tcPr>
          <w:p w14:paraId="18096D4C" w14:textId="77777777" w:rsidR="009967D1" w:rsidRDefault="0080134E">
            <w:pPr>
              <w:spacing w:line="400" w:lineRule="exact"/>
              <w:jc w:val="center"/>
              <w:rPr>
                <w:b/>
                <w:bCs/>
                <w:color w:val="000000" w:themeColor="text1"/>
                <w:sz w:val="24"/>
              </w:rPr>
            </w:pPr>
            <w:r>
              <w:rPr>
                <w:rFonts w:hint="eastAsia"/>
                <w:b/>
                <w:bCs/>
                <w:color w:val="000000" w:themeColor="text1"/>
                <w:sz w:val="24"/>
              </w:rPr>
              <w:t>CD4+</w:t>
            </w:r>
          </w:p>
        </w:tc>
        <w:tc>
          <w:tcPr>
            <w:tcW w:w="2536" w:type="dxa"/>
            <w:gridSpan w:val="2"/>
            <w:vAlign w:val="center"/>
          </w:tcPr>
          <w:p w14:paraId="3CB2A85E" w14:textId="77777777" w:rsidR="009967D1" w:rsidRDefault="0080134E">
            <w:pPr>
              <w:spacing w:line="400" w:lineRule="exact"/>
              <w:jc w:val="center"/>
              <w:rPr>
                <w:b/>
                <w:bCs/>
                <w:color w:val="000000" w:themeColor="text1"/>
                <w:sz w:val="24"/>
              </w:rPr>
            </w:pPr>
            <w:r>
              <w:rPr>
                <w:rFonts w:hint="eastAsia"/>
                <w:b/>
                <w:bCs/>
                <w:color w:val="000000" w:themeColor="text1"/>
                <w:sz w:val="24"/>
              </w:rPr>
              <w:t>辅助T细胞</w:t>
            </w:r>
          </w:p>
        </w:tc>
        <w:tc>
          <w:tcPr>
            <w:tcW w:w="1754" w:type="dxa"/>
            <w:gridSpan w:val="2"/>
            <w:vAlign w:val="center"/>
          </w:tcPr>
          <w:p>
            <w:r>
              <w:t>{{CD4_result}}</w:t>
            </w:r>
          </w:p>
        </w:tc>
        <w:tc>
          <w:tcPr>
            <w:tcW w:w="825" w:type="dxa"/>
            <w:gridSpan w:val="2"/>
            <w:vAlign w:val="center"/>
          </w:tcPr>
          <w:p>
            <w:r>
              <w:t>{{CD4_point}}</w:t>
            </w:r>
          </w:p>
        </w:tc>
        <w:tc>
          <w:tcPr>
            <w:tcW w:w="1980" w:type="dxa"/>
            <w:gridSpan w:val="2"/>
            <w:vAlign w:val="center"/>
          </w:tcPr>
          <w:p>
            <w:r>
              <w:t>{{CD4_refer}}</w:t>
            </w:r>
          </w:p>
        </w:tc>
        <w:tc>
          <w:tcPr>
            <w:tcW w:w="1408" w:type="dxa"/>
            <w:gridSpan w:val="2"/>
            <w:vAlign w:val="center"/>
          </w:tcPr>
          <w:p>
            <w:r>
              <w:t>{{CD4_unit}}</w:t>
            </w:r>
          </w:p>
        </w:tc>
      </w:tr>
      <w:tr w:rsidR="009967D1" w14:paraId="03EE1A74" w14:textId="77777777">
        <w:trPr>
          <w:trHeight w:val="1651"/>
          <w:jc w:val="center"/>
        </w:trPr>
        <w:tc>
          <w:tcPr>
            <w:tcW w:w="9653" w:type="dxa"/>
            <w:gridSpan w:val="11"/>
            <w:vAlign w:val="center"/>
          </w:tcPr>
          <w:p w14:paraId="466CCA7C" w14:textId="77777777" w:rsidR="009967D1" w:rsidRDefault="009967D1"/>
          <w:p w14:paraId="56A0D621" w14:textId="77777777" w:rsidR="009967D1" w:rsidRDefault="0080134E">
            <w:r>
              <w:rPr>
                <w:b/>
                <w:bCs/>
              </w:rPr>
              <w:t>Clinical Significance:</w:t>
            </w:r>
            <w:r>
              <w:t xml:space="preserve"> Assists in immune response, is a core indicator for AIDS diagnosis and condition monitoring, and is also used to evaluate autoimmune diseases and tumor immune status.</w:t>
            </w:r>
          </w:p>
          <w:p w14:paraId="73439D15" w14:textId="77777777" w:rsidR="009967D1" w:rsidRDefault="0080134E">
            <w:r>
              <w:rPr>
                <w:b/>
                <w:bCs/>
              </w:rPr>
              <w:t>临床意义：</w:t>
            </w:r>
            <w:r>
              <w:t>辅助免疫应答，是艾滋病诊断、病情监测核心指标，也用于评估自身免疫病、肿瘤免疫状态</w:t>
            </w:r>
            <w:r>
              <w:rPr>
                <w:rFonts w:hint="eastAsia"/>
              </w:rPr>
              <w:t>。</w:t>
            </w:r>
          </w:p>
        </w:tc>
      </w:tr>
    </w:tbl>
    <w:p w14:paraId="6079964D" w14:textId="77777777" w:rsidR="009967D1" w:rsidRDefault="009967D1" w:rsidP="004619DA">
      <w:pPr>
        <w:pStyle w:val="0"/>
      </w:pPr>
    </w:p>
    <w:p w14:paraId="3387F0B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AD6A814" w14:textId="77777777">
        <w:trPr>
          <w:trHeight w:hRule="exact" w:val="113"/>
          <w:jc w:val="center"/>
        </w:trPr>
        <w:tc>
          <w:tcPr>
            <w:tcW w:w="1560" w:type="dxa"/>
            <w:gridSpan w:val="2"/>
            <w:tcBorders>
              <w:top w:val="single" w:sz="4" w:space="0" w:color="auto"/>
            </w:tcBorders>
            <w:vAlign w:val="center"/>
          </w:tcPr>
          <w:p w14:paraId="012AC081"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027B96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F017D0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725CF68"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092913C"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1DA9D70" w14:textId="77777777" w:rsidR="009967D1" w:rsidRDefault="009967D1">
            <w:pPr>
              <w:spacing w:line="300" w:lineRule="exact"/>
              <w:jc w:val="right"/>
              <w:rPr>
                <w:color w:val="323E4F" w:themeColor="text2" w:themeShade="BF"/>
                <w:sz w:val="2"/>
                <w:szCs w:val="2"/>
              </w:rPr>
            </w:pPr>
          </w:p>
        </w:tc>
      </w:tr>
      <w:tr w:rsidR="009967D1" w14:paraId="1229D605" w14:textId="77777777">
        <w:trPr>
          <w:trHeight w:val="432"/>
          <w:jc w:val="center"/>
        </w:trPr>
        <w:tc>
          <w:tcPr>
            <w:tcW w:w="1150" w:type="dxa"/>
            <w:vAlign w:val="center"/>
          </w:tcPr>
          <w:p w14:paraId="17FAF1AB" w14:textId="77777777" w:rsidR="009967D1" w:rsidRDefault="0080134E">
            <w:pPr>
              <w:spacing w:line="400" w:lineRule="exact"/>
              <w:jc w:val="center"/>
              <w:rPr>
                <w:b/>
                <w:bCs/>
                <w:color w:val="000000" w:themeColor="text1"/>
                <w:sz w:val="24"/>
              </w:rPr>
            </w:pPr>
            <w:r>
              <w:rPr>
                <w:rFonts w:hint="eastAsia"/>
                <w:b/>
                <w:bCs/>
                <w:color w:val="000000" w:themeColor="text1"/>
                <w:sz w:val="24"/>
              </w:rPr>
              <w:t>CD8+</w:t>
            </w:r>
          </w:p>
        </w:tc>
        <w:tc>
          <w:tcPr>
            <w:tcW w:w="2536" w:type="dxa"/>
            <w:gridSpan w:val="2"/>
            <w:vAlign w:val="center"/>
          </w:tcPr>
          <w:p w14:paraId="1115DDE7" w14:textId="77777777" w:rsidR="009967D1" w:rsidRDefault="0080134E">
            <w:pPr>
              <w:spacing w:line="400" w:lineRule="exact"/>
              <w:jc w:val="center"/>
              <w:rPr>
                <w:b/>
                <w:bCs/>
                <w:color w:val="000000" w:themeColor="text1"/>
                <w:sz w:val="24"/>
              </w:rPr>
            </w:pPr>
            <w:r>
              <w:rPr>
                <w:rFonts w:hint="eastAsia"/>
                <w:b/>
                <w:bCs/>
                <w:color w:val="000000" w:themeColor="text1"/>
                <w:sz w:val="24"/>
              </w:rPr>
              <w:t>细胞毒性T细胞</w:t>
            </w:r>
          </w:p>
        </w:tc>
        <w:tc>
          <w:tcPr>
            <w:tcW w:w="1754" w:type="dxa"/>
            <w:gridSpan w:val="2"/>
            <w:vAlign w:val="center"/>
          </w:tcPr>
          <w:p>
            <w:r>
              <w:t>{{CD8_result}}</w:t>
            </w:r>
          </w:p>
        </w:tc>
        <w:tc>
          <w:tcPr>
            <w:tcW w:w="825" w:type="dxa"/>
            <w:gridSpan w:val="2"/>
            <w:vAlign w:val="center"/>
          </w:tcPr>
          <w:p>
            <w:r>
              <w:t>{{CD8_point}}</w:t>
            </w:r>
          </w:p>
        </w:tc>
        <w:tc>
          <w:tcPr>
            <w:tcW w:w="1980" w:type="dxa"/>
            <w:gridSpan w:val="2"/>
            <w:vAlign w:val="center"/>
          </w:tcPr>
          <w:p>
            <w:r>
              <w:t>{{CD8_refer}}</w:t>
            </w:r>
          </w:p>
        </w:tc>
        <w:tc>
          <w:tcPr>
            <w:tcW w:w="1408" w:type="dxa"/>
            <w:gridSpan w:val="2"/>
            <w:vAlign w:val="center"/>
          </w:tcPr>
          <w:p>
            <w:r>
              <w:t>{{CD8_unit}}</w:t>
            </w:r>
          </w:p>
        </w:tc>
      </w:tr>
      <w:tr w:rsidR="009967D1" w14:paraId="22921645" w14:textId="77777777">
        <w:trPr>
          <w:trHeight w:val="1651"/>
          <w:jc w:val="center"/>
        </w:trPr>
        <w:tc>
          <w:tcPr>
            <w:tcW w:w="9653" w:type="dxa"/>
            <w:gridSpan w:val="11"/>
            <w:vAlign w:val="center"/>
          </w:tcPr>
          <w:p w14:paraId="6A0441A0" w14:textId="77777777" w:rsidR="009967D1" w:rsidRDefault="009967D1"/>
          <w:p w14:paraId="40567FBA" w14:textId="77777777" w:rsidR="009967D1" w:rsidRDefault="0080134E">
            <w:r>
              <w:rPr>
                <w:b/>
                <w:bCs/>
              </w:rPr>
              <w:t>Clinical Significance:</w:t>
            </w:r>
            <w:r>
              <w:t xml:space="preserve"> Reflects the clarity and transparency of urine, assisting in judging abnormal components in the urine. Normal urine is clear and transparent, and abnormal turbidity is related to the presence of cells, crystals, bacteria, etc. in the urine.</w:t>
            </w:r>
          </w:p>
          <w:p w14:paraId="516ECBED" w14:textId="77777777" w:rsidR="009967D1" w:rsidRDefault="0080134E">
            <w:r>
              <w:rPr>
                <w:b/>
                <w:bCs/>
              </w:rPr>
              <w:t>临床意义：</w:t>
            </w:r>
            <w:r>
              <w:t>杀伤感染细胞、肿瘤细胞，评估免疫功能、肿瘤免疫监视、病毒感染状态</w:t>
            </w:r>
            <w:r>
              <w:rPr>
                <w:rFonts w:hint="eastAsia"/>
              </w:rPr>
              <w:t>。</w:t>
            </w:r>
          </w:p>
        </w:tc>
      </w:tr>
      <w:tr w:rsidR="009967D1" w14:paraId="7E756963" w14:textId="77777777">
        <w:trPr>
          <w:trHeight w:val="1651"/>
          <w:jc w:val="center"/>
        </w:trPr>
        <w:tc>
          <w:tcPr>
            <w:tcW w:w="9653" w:type="dxa"/>
            <w:gridSpan w:val="11"/>
            <w:vAlign w:val="center"/>
          </w:tcPr>
          <w:p w14:paraId="054D384C" w14:textId="77777777" w:rsidR="009967D1" w:rsidRDefault="009967D1"/>
        </w:tc>
      </w:tr>
    </w:tbl>
    <w:p w14:paraId="7958FA7D"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658E9374" w14:textId="4E63D918" w:rsidR="009967D1" w:rsidRDefault="00CC0BB6" w:rsidP="00A642C1">
      <w:pPr>
        <w:pStyle w:val="3-"/>
      </w:pPr>
      <w:r w:rsidRPr="00CC0BB6">
        <w:lastRenderedPageBreak/>
        <w:t>Humoral Immunity</w:t>
      </w:r>
      <w:r>
        <w:br/>
      </w:r>
      <w:r w:rsidR="0080134E">
        <w:rPr>
          <w:rFonts w:hint="eastAsia"/>
        </w:rPr>
        <w:t>体液免疫</w:t>
      </w:r>
    </w:p>
    <w:p w14:paraId="071DDAFA" w14:textId="77777777" w:rsidR="000F5890" w:rsidRDefault="000F5890" w:rsidP="000F5890">
      <w:pPr>
        <w:pStyle w:val="0"/>
      </w:pPr>
    </w:p>
    <w:p w14:paraId="37738450" w14:textId="253ABFDF" w:rsidR="000F5890" w:rsidRDefault="000F5890" w:rsidP="000F5890">
      <w:pPr>
        <w:pStyle w:val="00"/>
      </w:pPr>
      <w:r w:rsidRPr="000F5890">
        <w:t>Humoral immunity testing is an important laboratory evaluation of immune function and the body’s ability to resist pathogens. It primarily measures immunoglobulins (IgG, IgA, IgM, IgE) and complement components (C3, C4). These molecules are central elements of the immune defense system, responsible for recognizing, binding, and neutralizing bacteria, viruses, and toxins, thus maintaining health and immune balance.</w:t>
      </w:r>
    </w:p>
    <w:p w14:paraId="64804549" w14:textId="08BBE798" w:rsidR="000F5890" w:rsidRDefault="000F5890" w:rsidP="000F5890">
      <w:pPr>
        <w:pStyle w:val="0"/>
      </w:pPr>
      <w:r>
        <w:t>体液免疫检测是评估机体免疫力和抵御外来病原体能力的重要检查，主要包括免疫球蛋白（</w:t>
      </w:r>
      <w:r>
        <w:t>IgG</w:t>
      </w:r>
      <w:r>
        <w:t>、</w:t>
      </w:r>
      <w:r>
        <w:t>IgA</w:t>
      </w:r>
      <w:r>
        <w:t>、</w:t>
      </w:r>
      <w:r>
        <w:t>IgM</w:t>
      </w:r>
      <w:r>
        <w:t>、</w:t>
      </w:r>
      <w:r>
        <w:t>IgE</w:t>
      </w:r>
      <w:r>
        <w:t>）及补体成分（</w:t>
      </w:r>
      <w:r>
        <w:t>C3</w:t>
      </w:r>
      <w:r>
        <w:t>、</w:t>
      </w:r>
      <w:r>
        <w:t>C4</w:t>
      </w:r>
      <w:r>
        <w:t>）等指标。这些分子是机体防御系统的核心组成部分，能够识别、结合并清除细菌、病毒、毒素等异物，是维持健康与免疫平衡的关键。</w:t>
      </w:r>
    </w:p>
    <w:p w14:paraId="27EEF0F1" w14:textId="0260E705" w:rsidR="000F5890" w:rsidRDefault="000F5890" w:rsidP="000F5890">
      <w:pPr>
        <w:pStyle w:val="00"/>
      </w:pPr>
      <w:r w:rsidRPr="000F5890">
        <w:t>Immunoglobulin G (IgG) is the most abundant antibody in the bloodstream, reflecting long-term immunity and vaccine response. IgA is mainly found in mucosal surfaces such as the respiratory and digestive tracts, serving as the first-line barrier against pathogens. IgM is the earliest antibody produced during acute infection, indicating recent exposure to pathogens. IgE is closely associated with allergic responses, and elevated levels are commonly observed in asthma, allergic rhinitis, and food allergies.</w:t>
      </w:r>
    </w:p>
    <w:p w14:paraId="149E04DA" w14:textId="27F83DD2" w:rsidR="000F5890" w:rsidRDefault="000F5890" w:rsidP="000F5890">
      <w:pPr>
        <w:pStyle w:val="0"/>
      </w:pPr>
      <w:r>
        <w:t>免疫球蛋白</w:t>
      </w:r>
      <w:r>
        <w:t>G</w:t>
      </w:r>
      <w:r>
        <w:t>（</w:t>
      </w:r>
      <w:r>
        <w:t>IgG</w:t>
      </w:r>
      <w:r>
        <w:t>）是血液中最丰富的抗体，代表机体对感染的长期免疫力，也是疫苗接种效果的重要反映。</w:t>
      </w:r>
      <w:r>
        <w:t>IgA</w:t>
      </w:r>
      <w:r>
        <w:t>主要存在于呼吸道、消化道等黏膜表面，负责第一道防线的免疫屏障。</w:t>
      </w:r>
      <w:r>
        <w:t>IgM</w:t>
      </w:r>
      <w:r>
        <w:t>是感染早期最先产生的抗体，提示急性感染或近期感染情况。</w:t>
      </w:r>
      <w:r>
        <w:t>IgE</w:t>
      </w:r>
      <w:r>
        <w:t>则与过敏反应密切相关，在哮喘、过敏性鼻炎、食物过敏等疾病中水平常显著升高。</w:t>
      </w:r>
    </w:p>
    <w:p w14:paraId="0D2CD49F" w14:textId="124CEDDE" w:rsidR="000F5890" w:rsidRDefault="000F5890" w:rsidP="000F5890">
      <w:pPr>
        <w:pStyle w:val="00"/>
      </w:pPr>
      <w:r w:rsidRPr="000F5890">
        <w:t>Complement components C3 and C4 are effector molecules of the humoral immune system, playing vital roles in clearing immune complexes and regulating inflammatory responses. Abnormal levels may indicate hyperactivity or suppression of the immune system, as seen in conditions such as systemic lupus erythematosus, autoimmune diseases, or chronic infections.</w:t>
      </w:r>
    </w:p>
    <w:p w14:paraId="0BE59ECC" w14:textId="0585BDFD" w:rsidR="000F5890" w:rsidRDefault="000F5890" w:rsidP="000F5890">
      <w:pPr>
        <w:pStyle w:val="0"/>
      </w:pPr>
      <w:r>
        <w:t>补体</w:t>
      </w:r>
      <w:r>
        <w:t>C3</w:t>
      </w:r>
      <w:r>
        <w:t>、</w:t>
      </w:r>
      <w:r>
        <w:t>C4</w:t>
      </w:r>
      <w:r>
        <w:t>是体液免疫系统的效应分子，参与免疫复合物清除与炎症反应调节。其异常水平可提示免疫系统亢进或功能低下，如系统性红斑狼疮、自身免疫性疾病或慢性感染。</w:t>
      </w:r>
    </w:p>
    <w:p w14:paraId="0309B315" w14:textId="7D04974D" w:rsidR="000F5890" w:rsidRDefault="000F5890" w:rsidP="000F5890">
      <w:pPr>
        <w:pStyle w:val="00"/>
      </w:pPr>
      <w:r w:rsidRPr="000F5890">
        <w:t>In preventive healthcare, humoral immunity testing aids in identifying risks of immunodeficiency, chronic inflammation, allergic disorders, and autoimmune diseases. It is particularly valuable for individuals with chronic fatigue, recurrent infections, allergic tendencies, or a family history of immune-related disorders. The results also provide a scientific basis for nutritional optimization and immune-modulating interventions.</w:t>
      </w:r>
    </w:p>
    <w:p w14:paraId="70B29680" w14:textId="30859D61" w:rsidR="000F5890" w:rsidRDefault="00E0487F" w:rsidP="000F5890">
      <w:pPr>
        <w:pStyle w:val="0"/>
      </w:pPr>
      <w:r w:rsidRPr="009E1205">
        <w:rPr>
          <w:noProof/>
        </w:rPr>
        <w:drawing>
          <wp:anchor distT="0" distB="0" distL="114300" distR="114300" simplePos="0" relativeHeight="251695104" behindDoc="0" locked="0" layoutInCell="1" allowOverlap="1" wp14:anchorId="45255D74" wp14:editId="6FBD61C3">
            <wp:simplePos x="0" y="0"/>
            <wp:positionH relativeFrom="column">
              <wp:posOffset>1270</wp:posOffset>
            </wp:positionH>
            <wp:positionV relativeFrom="paragraph">
              <wp:posOffset>801370</wp:posOffset>
            </wp:positionV>
            <wp:extent cx="6080125" cy="1706245"/>
            <wp:effectExtent l="0" t="0" r="3175" b="0"/>
            <wp:wrapNone/>
            <wp:docPr id="3448250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825084" name="图片 1"/>
                    <pic:cNvPicPr/>
                  </pic:nvPicPr>
                  <pic:blipFill rotWithShape="1">
                    <a:blip r:embed="rId29">
                      <a:extLst>
                        <a:ext uri="{28A0092B-C50C-407E-A947-70E740481C1C}">
                          <a14:useLocalDpi xmlns:a14="http://schemas.microsoft.com/office/drawing/2010/main" val="0"/>
                        </a:ext>
                      </a:extLst>
                    </a:blip>
                    <a:srcRect l="1300" t="29547" r="1244" b="34951"/>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F5890">
        <w:t>在健康管理中，体液免疫检测可帮助发现免疫缺陷、慢性炎症、过敏性疾病及自身免疫疾病的风险。对于长期疲劳、反复感染、过敏体质或存在家族性免疫性疾病风险的人群，定期监测尤为重要。该检测还能为精准营养与免疫调节干预提供科学依据。</w:t>
      </w:r>
    </w:p>
    <w:p w14:paraId="71CEEC4E" w14:textId="62109088" w:rsidR="000F5890" w:rsidRDefault="000F5890" w:rsidP="000F5890">
      <w:pPr>
        <w:pStyle w:val="0"/>
      </w:pPr>
    </w:p>
    <w:p w14:paraId="7C09C27A" w14:textId="77777777" w:rsidR="000F5890" w:rsidRPr="000F5890" w:rsidRDefault="000F5890" w:rsidP="000F5890">
      <w:pPr>
        <w:pStyle w:val="0"/>
      </w:pPr>
    </w:p>
    <w:p w14:paraId="271E05DC" w14:textId="77777777" w:rsidR="009967D1" w:rsidRDefault="0080134E">
      <w:pPr>
        <w:widowControl/>
        <w:jc w:val="left"/>
      </w:pPr>
      <w:r>
        <w:br w:type="page"/>
      </w:r>
    </w:p>
    <w:p w14:paraId="45D3956C"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F207817" w14:textId="77777777">
        <w:trPr>
          <w:trHeight w:val="839"/>
          <w:jc w:val="center"/>
        </w:trPr>
        <w:tc>
          <w:tcPr>
            <w:tcW w:w="1150" w:type="dxa"/>
            <w:tcBorders>
              <w:top w:val="single" w:sz="4" w:space="0" w:color="auto"/>
              <w:bottom w:val="single" w:sz="4" w:space="0" w:color="auto"/>
            </w:tcBorders>
            <w:vAlign w:val="center"/>
          </w:tcPr>
          <w:p w14:paraId="61183B8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79B0AE7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0A20FD52"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2EA2E53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3A40523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509DC1C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2B0442BA" w14:textId="77777777">
        <w:trPr>
          <w:trHeight w:val="1111"/>
          <w:jc w:val="center"/>
        </w:trPr>
        <w:tc>
          <w:tcPr>
            <w:tcW w:w="9653" w:type="dxa"/>
            <w:gridSpan w:val="11"/>
            <w:tcBorders>
              <w:top w:val="single" w:sz="4" w:space="0" w:color="auto"/>
              <w:bottom w:val="single" w:sz="4" w:space="0" w:color="auto"/>
            </w:tcBorders>
            <w:vAlign w:val="center"/>
          </w:tcPr>
          <w:p w14:paraId="2BABE10D" w14:textId="0D4B777C"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Humoral </w:t>
            </w:r>
            <w:r w:rsidR="00CC0BB6">
              <w:rPr>
                <w:b/>
                <w:bCs/>
                <w:color w:val="323E4F" w:themeColor="text2" w:themeShade="BF"/>
                <w:sz w:val="32"/>
                <w:szCs w:val="32"/>
              </w:rPr>
              <w:t>I</w:t>
            </w:r>
            <w:r>
              <w:rPr>
                <w:rFonts w:hint="eastAsia"/>
                <w:b/>
                <w:bCs/>
                <w:color w:val="323E4F" w:themeColor="text2" w:themeShade="BF"/>
                <w:sz w:val="32"/>
                <w:szCs w:val="32"/>
              </w:rPr>
              <w:t>mmunity</w:t>
            </w:r>
          </w:p>
          <w:p w14:paraId="7BE56944"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体液免疫</w:t>
            </w:r>
          </w:p>
        </w:tc>
      </w:tr>
      <w:tr w:rsidR="009967D1" w14:paraId="3F35A547" w14:textId="77777777">
        <w:trPr>
          <w:trHeight w:hRule="exact" w:val="113"/>
          <w:jc w:val="center"/>
        </w:trPr>
        <w:tc>
          <w:tcPr>
            <w:tcW w:w="1560" w:type="dxa"/>
            <w:gridSpan w:val="2"/>
            <w:tcBorders>
              <w:top w:val="single" w:sz="4" w:space="0" w:color="auto"/>
            </w:tcBorders>
            <w:vAlign w:val="center"/>
          </w:tcPr>
          <w:p w14:paraId="5D80982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95943E5"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08E5F1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0E3BAD8"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B83CC1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A3A0745" w14:textId="77777777" w:rsidR="009967D1" w:rsidRDefault="009967D1">
            <w:pPr>
              <w:spacing w:line="300" w:lineRule="exact"/>
              <w:jc w:val="right"/>
              <w:rPr>
                <w:color w:val="323E4F" w:themeColor="text2" w:themeShade="BF"/>
                <w:sz w:val="2"/>
                <w:szCs w:val="2"/>
              </w:rPr>
            </w:pPr>
          </w:p>
        </w:tc>
      </w:tr>
      <w:tr w:rsidR="009967D1" w14:paraId="2DD730A9" w14:textId="77777777">
        <w:trPr>
          <w:trHeight w:val="432"/>
          <w:jc w:val="center"/>
        </w:trPr>
        <w:tc>
          <w:tcPr>
            <w:tcW w:w="1150" w:type="dxa"/>
            <w:vAlign w:val="center"/>
          </w:tcPr>
          <w:p w14:paraId="08126C03" w14:textId="77777777" w:rsidR="009967D1" w:rsidRDefault="0080134E">
            <w:pPr>
              <w:spacing w:line="400" w:lineRule="exact"/>
              <w:jc w:val="center"/>
              <w:rPr>
                <w:b/>
                <w:bCs/>
                <w:color w:val="000000" w:themeColor="text1"/>
                <w:sz w:val="24"/>
              </w:rPr>
            </w:pPr>
            <w:r>
              <w:rPr>
                <w:rFonts w:hint="eastAsia"/>
                <w:b/>
                <w:bCs/>
                <w:color w:val="000000" w:themeColor="text1"/>
                <w:sz w:val="24"/>
              </w:rPr>
              <w:t>IgG</w:t>
            </w:r>
          </w:p>
        </w:tc>
        <w:tc>
          <w:tcPr>
            <w:tcW w:w="2536" w:type="dxa"/>
            <w:gridSpan w:val="2"/>
            <w:vAlign w:val="center"/>
          </w:tcPr>
          <w:p w14:paraId="45C6730D" w14:textId="77777777" w:rsidR="009967D1" w:rsidRDefault="0080134E">
            <w:pPr>
              <w:spacing w:line="400" w:lineRule="exact"/>
              <w:jc w:val="center"/>
              <w:rPr>
                <w:b/>
                <w:bCs/>
                <w:color w:val="000000" w:themeColor="text1"/>
                <w:sz w:val="24"/>
              </w:rPr>
            </w:pPr>
            <w:r>
              <w:rPr>
                <w:rFonts w:hint="eastAsia"/>
                <w:b/>
                <w:bCs/>
                <w:color w:val="000000" w:themeColor="text1"/>
                <w:sz w:val="24"/>
              </w:rPr>
              <w:t>免疫球蛋白G</w:t>
            </w:r>
          </w:p>
        </w:tc>
        <w:tc>
          <w:tcPr>
            <w:tcW w:w="1754" w:type="dxa"/>
            <w:gridSpan w:val="2"/>
            <w:vAlign w:val="center"/>
          </w:tcPr>
          <w:p>
            <w:r>
              <w:t>{{IGG_result}}</w:t>
            </w:r>
          </w:p>
        </w:tc>
        <w:tc>
          <w:tcPr>
            <w:tcW w:w="825" w:type="dxa"/>
            <w:gridSpan w:val="2"/>
            <w:vAlign w:val="center"/>
          </w:tcPr>
          <w:p>
            <w:r>
              <w:t>{{IGG_point}}</w:t>
            </w:r>
          </w:p>
        </w:tc>
        <w:tc>
          <w:tcPr>
            <w:tcW w:w="1980" w:type="dxa"/>
            <w:gridSpan w:val="2"/>
            <w:vAlign w:val="center"/>
          </w:tcPr>
          <w:p>
            <w:r>
              <w:t>{{IGG_refer}}</w:t>
            </w:r>
          </w:p>
        </w:tc>
        <w:tc>
          <w:tcPr>
            <w:tcW w:w="1408" w:type="dxa"/>
            <w:gridSpan w:val="2"/>
            <w:vAlign w:val="center"/>
          </w:tcPr>
          <w:p>
            <w:r>
              <w:t>{{IGG_unit}}</w:t>
            </w:r>
          </w:p>
        </w:tc>
      </w:tr>
      <w:tr w:rsidR="009967D1" w14:paraId="76379523" w14:textId="77777777">
        <w:trPr>
          <w:trHeight w:val="1651"/>
          <w:jc w:val="center"/>
        </w:trPr>
        <w:tc>
          <w:tcPr>
            <w:tcW w:w="9653" w:type="dxa"/>
            <w:gridSpan w:val="11"/>
            <w:vAlign w:val="center"/>
          </w:tcPr>
          <w:p w14:paraId="33729A63" w14:textId="77777777" w:rsidR="009967D1" w:rsidRDefault="0080134E">
            <w:r>
              <w:rPr>
                <w:b/>
                <w:bCs/>
              </w:rPr>
              <w:t>Clinical Significance:</w:t>
            </w:r>
            <w:r>
              <w:t>The most abundant immunoglobulin in the body, involved in anti-infection and autoimmune regulation; used to assess humoral immune function, diagnose autoimmune diseases, and infectious diseases.</w:t>
            </w:r>
          </w:p>
          <w:p w14:paraId="4E999D62" w14:textId="77777777" w:rsidR="009967D1" w:rsidRDefault="0080134E">
            <w:r>
              <w:rPr>
                <w:b/>
                <w:bCs/>
              </w:rPr>
              <w:t>临床意义：</w:t>
            </w:r>
            <w:r>
              <w:t>体内含量最高的免疫球蛋白，参与抗感染、自身免疫调节，评估体液免疫功能、诊断自身免疫病、感染性疾病</w:t>
            </w:r>
            <w:r>
              <w:rPr>
                <w:rFonts w:hint="eastAsia"/>
              </w:rPr>
              <w:t>。</w:t>
            </w:r>
          </w:p>
        </w:tc>
      </w:tr>
    </w:tbl>
    <w:p w14:paraId="4D614611" w14:textId="77777777" w:rsidR="009967D1" w:rsidRDefault="009967D1" w:rsidP="004619DA">
      <w:pPr>
        <w:pStyle w:val="0"/>
      </w:pPr>
    </w:p>
    <w:p w14:paraId="27C9D8AA"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9B7AEF8" w14:textId="77777777">
        <w:trPr>
          <w:trHeight w:hRule="exact" w:val="113"/>
          <w:jc w:val="center"/>
        </w:trPr>
        <w:tc>
          <w:tcPr>
            <w:tcW w:w="1560" w:type="dxa"/>
            <w:gridSpan w:val="2"/>
            <w:tcBorders>
              <w:top w:val="single" w:sz="4" w:space="0" w:color="auto"/>
            </w:tcBorders>
            <w:vAlign w:val="center"/>
          </w:tcPr>
          <w:p w14:paraId="0589A71C"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CDC9D3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688EC4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DDC2AD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26460E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FE68637" w14:textId="77777777" w:rsidR="009967D1" w:rsidRDefault="009967D1">
            <w:pPr>
              <w:spacing w:line="300" w:lineRule="exact"/>
              <w:jc w:val="right"/>
              <w:rPr>
                <w:color w:val="323E4F" w:themeColor="text2" w:themeShade="BF"/>
                <w:sz w:val="2"/>
                <w:szCs w:val="2"/>
              </w:rPr>
            </w:pPr>
          </w:p>
        </w:tc>
      </w:tr>
      <w:tr w:rsidR="009967D1" w14:paraId="69623015" w14:textId="77777777">
        <w:trPr>
          <w:trHeight w:val="432"/>
          <w:jc w:val="center"/>
        </w:trPr>
        <w:tc>
          <w:tcPr>
            <w:tcW w:w="1150" w:type="dxa"/>
            <w:vAlign w:val="center"/>
          </w:tcPr>
          <w:p w14:paraId="56C02267" w14:textId="77777777" w:rsidR="009967D1" w:rsidRDefault="0080134E">
            <w:pPr>
              <w:spacing w:line="400" w:lineRule="exact"/>
              <w:jc w:val="center"/>
              <w:rPr>
                <w:b/>
                <w:bCs/>
                <w:color w:val="000000" w:themeColor="text1"/>
                <w:sz w:val="24"/>
              </w:rPr>
            </w:pPr>
            <w:r>
              <w:rPr>
                <w:rFonts w:hint="eastAsia"/>
                <w:b/>
                <w:bCs/>
                <w:color w:val="000000" w:themeColor="text1"/>
                <w:sz w:val="24"/>
              </w:rPr>
              <w:t>IgA</w:t>
            </w:r>
          </w:p>
        </w:tc>
        <w:tc>
          <w:tcPr>
            <w:tcW w:w="2536" w:type="dxa"/>
            <w:gridSpan w:val="2"/>
            <w:vAlign w:val="center"/>
          </w:tcPr>
          <w:p w14:paraId="23F4C01B" w14:textId="77777777" w:rsidR="009967D1" w:rsidRDefault="0080134E">
            <w:pPr>
              <w:spacing w:line="400" w:lineRule="exact"/>
              <w:jc w:val="center"/>
              <w:rPr>
                <w:b/>
                <w:bCs/>
                <w:color w:val="000000" w:themeColor="text1"/>
                <w:sz w:val="24"/>
              </w:rPr>
            </w:pPr>
            <w:r>
              <w:rPr>
                <w:rFonts w:hint="eastAsia"/>
                <w:b/>
                <w:bCs/>
                <w:color w:val="000000" w:themeColor="text1"/>
                <w:sz w:val="24"/>
              </w:rPr>
              <w:t>免疫球蛋白A</w:t>
            </w:r>
          </w:p>
        </w:tc>
        <w:tc>
          <w:tcPr>
            <w:tcW w:w="1754" w:type="dxa"/>
            <w:gridSpan w:val="2"/>
            <w:vAlign w:val="center"/>
          </w:tcPr>
          <w:p>
            <w:r>
              <w:t>{{IGA_result}}</w:t>
            </w:r>
          </w:p>
        </w:tc>
        <w:tc>
          <w:tcPr>
            <w:tcW w:w="825" w:type="dxa"/>
            <w:gridSpan w:val="2"/>
            <w:vAlign w:val="center"/>
          </w:tcPr>
          <w:p>
            <w:r>
              <w:t>{{IGA_point}}</w:t>
            </w:r>
          </w:p>
        </w:tc>
        <w:tc>
          <w:tcPr>
            <w:tcW w:w="1980" w:type="dxa"/>
            <w:gridSpan w:val="2"/>
            <w:vAlign w:val="center"/>
          </w:tcPr>
          <w:p>
            <w:r>
              <w:t>{{IGA_refer}}</w:t>
            </w:r>
          </w:p>
        </w:tc>
        <w:tc>
          <w:tcPr>
            <w:tcW w:w="1408" w:type="dxa"/>
            <w:gridSpan w:val="2"/>
            <w:vAlign w:val="center"/>
          </w:tcPr>
          <w:p>
            <w:r>
              <w:t>{{IGA_unit}}</w:t>
            </w:r>
          </w:p>
        </w:tc>
      </w:tr>
      <w:tr w:rsidR="009967D1" w14:paraId="584CB92B" w14:textId="77777777">
        <w:trPr>
          <w:trHeight w:val="1651"/>
          <w:jc w:val="center"/>
        </w:trPr>
        <w:tc>
          <w:tcPr>
            <w:tcW w:w="9653" w:type="dxa"/>
            <w:gridSpan w:val="11"/>
            <w:vAlign w:val="center"/>
          </w:tcPr>
          <w:p w14:paraId="76DB9527" w14:textId="77777777" w:rsidR="009967D1" w:rsidRDefault="0080134E">
            <w:r>
              <w:rPr>
                <w:b/>
                <w:bCs/>
              </w:rPr>
              <w:t>Clinical Significance:</w:t>
            </w:r>
            <w:r>
              <w:t>Participates in mucosal immunity (respiratory and gastrointestinal tracts); used for evaluating infections, autoimmune diseases, and allergic disorders.</w:t>
            </w:r>
          </w:p>
          <w:p w14:paraId="60F5FF37" w14:textId="77777777" w:rsidR="009967D1" w:rsidRDefault="0080134E">
            <w:r>
              <w:rPr>
                <w:b/>
                <w:bCs/>
              </w:rPr>
              <w:t>临床意义：</w:t>
            </w:r>
            <w:r>
              <w:t>参与黏膜免疫（如呼吸道、消化道</w:t>
            </w:r>
            <w:r>
              <w:rPr>
                <w:rFonts w:hint="eastAsia"/>
              </w:rPr>
              <w:t>）</w:t>
            </w:r>
            <w:r>
              <w:t>，评估感染、自身免疫病、过敏性疾病</w:t>
            </w:r>
            <w:r>
              <w:rPr>
                <w:rFonts w:hint="eastAsia"/>
              </w:rPr>
              <w:t>。</w:t>
            </w:r>
          </w:p>
        </w:tc>
      </w:tr>
    </w:tbl>
    <w:p w14:paraId="12689ECF" w14:textId="77777777" w:rsidR="009967D1" w:rsidRDefault="009967D1" w:rsidP="004619DA">
      <w:pPr>
        <w:pStyle w:val="0"/>
      </w:pPr>
    </w:p>
    <w:p w14:paraId="52A12C2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C24AAC2" w14:textId="77777777">
        <w:trPr>
          <w:trHeight w:hRule="exact" w:val="113"/>
          <w:jc w:val="center"/>
        </w:trPr>
        <w:tc>
          <w:tcPr>
            <w:tcW w:w="1560" w:type="dxa"/>
            <w:gridSpan w:val="2"/>
            <w:tcBorders>
              <w:top w:val="single" w:sz="4" w:space="0" w:color="auto"/>
            </w:tcBorders>
            <w:vAlign w:val="center"/>
          </w:tcPr>
          <w:p w14:paraId="0C280D3F"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790D006"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989617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66D635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D897253"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CF3B2F0" w14:textId="77777777" w:rsidR="009967D1" w:rsidRDefault="009967D1">
            <w:pPr>
              <w:spacing w:line="300" w:lineRule="exact"/>
              <w:jc w:val="right"/>
              <w:rPr>
                <w:color w:val="323E4F" w:themeColor="text2" w:themeShade="BF"/>
                <w:sz w:val="2"/>
                <w:szCs w:val="2"/>
              </w:rPr>
            </w:pPr>
          </w:p>
        </w:tc>
      </w:tr>
      <w:tr w:rsidR="009967D1" w14:paraId="2366B600" w14:textId="77777777">
        <w:trPr>
          <w:trHeight w:val="432"/>
          <w:jc w:val="center"/>
        </w:trPr>
        <w:tc>
          <w:tcPr>
            <w:tcW w:w="1150" w:type="dxa"/>
            <w:vAlign w:val="center"/>
          </w:tcPr>
          <w:p w14:paraId="15B79AD6" w14:textId="77777777" w:rsidR="009967D1" w:rsidRDefault="0080134E">
            <w:pPr>
              <w:spacing w:line="400" w:lineRule="exact"/>
              <w:jc w:val="center"/>
              <w:rPr>
                <w:b/>
                <w:bCs/>
                <w:color w:val="000000" w:themeColor="text1"/>
                <w:sz w:val="24"/>
              </w:rPr>
            </w:pPr>
            <w:r>
              <w:rPr>
                <w:rFonts w:hint="eastAsia"/>
                <w:b/>
                <w:bCs/>
                <w:color w:val="000000" w:themeColor="text1"/>
                <w:sz w:val="24"/>
              </w:rPr>
              <w:t>IgM</w:t>
            </w:r>
          </w:p>
        </w:tc>
        <w:tc>
          <w:tcPr>
            <w:tcW w:w="2536" w:type="dxa"/>
            <w:gridSpan w:val="2"/>
            <w:vAlign w:val="center"/>
          </w:tcPr>
          <w:p w14:paraId="3FBBCCB9" w14:textId="77777777" w:rsidR="009967D1" w:rsidRDefault="0080134E">
            <w:pPr>
              <w:spacing w:line="400" w:lineRule="exact"/>
              <w:jc w:val="center"/>
              <w:rPr>
                <w:b/>
                <w:bCs/>
                <w:color w:val="000000" w:themeColor="text1"/>
                <w:sz w:val="24"/>
              </w:rPr>
            </w:pPr>
            <w:r>
              <w:rPr>
                <w:rFonts w:hint="eastAsia"/>
                <w:b/>
                <w:bCs/>
                <w:color w:val="000000" w:themeColor="text1"/>
                <w:sz w:val="24"/>
              </w:rPr>
              <w:t>免疫球蛋白M</w:t>
            </w:r>
          </w:p>
        </w:tc>
        <w:tc>
          <w:tcPr>
            <w:tcW w:w="1754" w:type="dxa"/>
            <w:gridSpan w:val="2"/>
            <w:vAlign w:val="center"/>
          </w:tcPr>
          <w:p>
            <w:r>
              <w:t>{{IGM_result}}</w:t>
            </w:r>
          </w:p>
        </w:tc>
        <w:tc>
          <w:tcPr>
            <w:tcW w:w="825" w:type="dxa"/>
            <w:gridSpan w:val="2"/>
            <w:vAlign w:val="center"/>
          </w:tcPr>
          <w:p>
            <w:r>
              <w:t>{{IGM_point}}</w:t>
            </w:r>
          </w:p>
        </w:tc>
        <w:tc>
          <w:tcPr>
            <w:tcW w:w="1980" w:type="dxa"/>
            <w:gridSpan w:val="2"/>
            <w:vAlign w:val="center"/>
          </w:tcPr>
          <w:p>
            <w:r>
              <w:t>{{IGM_refer}}</w:t>
            </w:r>
          </w:p>
        </w:tc>
        <w:tc>
          <w:tcPr>
            <w:tcW w:w="1408" w:type="dxa"/>
            <w:gridSpan w:val="2"/>
            <w:vAlign w:val="center"/>
          </w:tcPr>
          <w:p>
            <w:r>
              <w:t>{{IGM_unit}}</w:t>
            </w:r>
          </w:p>
        </w:tc>
      </w:tr>
      <w:tr w:rsidR="009967D1" w14:paraId="304DDE9F" w14:textId="77777777">
        <w:trPr>
          <w:trHeight w:val="1651"/>
          <w:jc w:val="center"/>
        </w:trPr>
        <w:tc>
          <w:tcPr>
            <w:tcW w:w="9653" w:type="dxa"/>
            <w:gridSpan w:val="11"/>
            <w:vAlign w:val="center"/>
          </w:tcPr>
          <w:p w14:paraId="3660D90B" w14:textId="77777777" w:rsidR="009967D1" w:rsidRDefault="0080134E">
            <w:r>
              <w:rPr>
                <w:b/>
                <w:bCs/>
              </w:rPr>
              <w:t>Clinical Significance:</w:t>
            </w:r>
            <w:r>
              <w:t>An early-response immunoglobulin during acute infection; used to evaluate acute infections, autoimmune diseases, and hematological disorders (e.g., Waldenström’s macroglobulinemia).</w:t>
            </w:r>
          </w:p>
          <w:p w14:paraId="3C7359EE" w14:textId="77777777" w:rsidR="009967D1" w:rsidRDefault="0080134E">
            <w:r>
              <w:rPr>
                <w:b/>
                <w:bCs/>
              </w:rPr>
              <w:t>临床意义：</w:t>
            </w:r>
            <w:r>
              <w:t>感染早期快速应答的免疫球蛋白，评估急性感染、自身免疫病、血液病（如巨球蛋白血症</w:t>
            </w:r>
            <w:r>
              <w:rPr>
                <w:rFonts w:hint="eastAsia"/>
              </w:rPr>
              <w:t>）。</w:t>
            </w:r>
          </w:p>
        </w:tc>
      </w:tr>
    </w:tbl>
    <w:p w14:paraId="36624777" w14:textId="77777777" w:rsidR="009967D1" w:rsidRDefault="009967D1" w:rsidP="004619DA">
      <w:pPr>
        <w:pStyle w:val="0"/>
      </w:pPr>
    </w:p>
    <w:p w14:paraId="735C6191"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C921FF0" w14:textId="77777777">
        <w:trPr>
          <w:trHeight w:hRule="exact" w:val="113"/>
          <w:jc w:val="center"/>
        </w:trPr>
        <w:tc>
          <w:tcPr>
            <w:tcW w:w="1560" w:type="dxa"/>
            <w:gridSpan w:val="2"/>
            <w:tcBorders>
              <w:top w:val="single" w:sz="4" w:space="0" w:color="auto"/>
            </w:tcBorders>
            <w:vAlign w:val="center"/>
          </w:tcPr>
          <w:p w14:paraId="3A17E080"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10C6CD6"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4B81B85"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604859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6870978"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582F8DE" w14:textId="77777777" w:rsidR="009967D1" w:rsidRDefault="009967D1">
            <w:pPr>
              <w:spacing w:line="300" w:lineRule="exact"/>
              <w:jc w:val="right"/>
              <w:rPr>
                <w:color w:val="323E4F" w:themeColor="text2" w:themeShade="BF"/>
                <w:sz w:val="2"/>
                <w:szCs w:val="2"/>
              </w:rPr>
            </w:pPr>
          </w:p>
        </w:tc>
      </w:tr>
      <w:tr w:rsidR="009967D1" w14:paraId="22D0E6CF" w14:textId="77777777">
        <w:trPr>
          <w:trHeight w:val="432"/>
          <w:jc w:val="center"/>
        </w:trPr>
        <w:tc>
          <w:tcPr>
            <w:tcW w:w="1150" w:type="dxa"/>
            <w:vAlign w:val="center"/>
          </w:tcPr>
          <w:p w14:paraId="7CDFF201" w14:textId="77777777" w:rsidR="009967D1" w:rsidRDefault="0080134E">
            <w:pPr>
              <w:spacing w:line="400" w:lineRule="exact"/>
              <w:jc w:val="center"/>
              <w:rPr>
                <w:b/>
                <w:bCs/>
                <w:color w:val="000000" w:themeColor="text1"/>
                <w:sz w:val="24"/>
              </w:rPr>
            </w:pPr>
            <w:r>
              <w:rPr>
                <w:rFonts w:hint="eastAsia"/>
                <w:b/>
                <w:bCs/>
                <w:color w:val="000000" w:themeColor="text1"/>
                <w:sz w:val="24"/>
              </w:rPr>
              <w:t>IgE</w:t>
            </w:r>
          </w:p>
        </w:tc>
        <w:tc>
          <w:tcPr>
            <w:tcW w:w="2536" w:type="dxa"/>
            <w:gridSpan w:val="2"/>
            <w:vAlign w:val="center"/>
          </w:tcPr>
          <w:p w14:paraId="36541CEE" w14:textId="77777777" w:rsidR="009967D1" w:rsidRDefault="0080134E">
            <w:pPr>
              <w:spacing w:line="400" w:lineRule="exact"/>
              <w:jc w:val="center"/>
              <w:rPr>
                <w:b/>
                <w:bCs/>
                <w:color w:val="000000" w:themeColor="text1"/>
                <w:sz w:val="24"/>
              </w:rPr>
            </w:pPr>
            <w:r>
              <w:rPr>
                <w:rFonts w:hint="eastAsia"/>
                <w:b/>
                <w:bCs/>
                <w:color w:val="000000" w:themeColor="text1"/>
                <w:sz w:val="24"/>
              </w:rPr>
              <w:t>免疫球蛋白E</w:t>
            </w:r>
          </w:p>
        </w:tc>
        <w:tc>
          <w:tcPr>
            <w:tcW w:w="1754" w:type="dxa"/>
            <w:gridSpan w:val="2"/>
            <w:vAlign w:val="center"/>
          </w:tcPr>
          <w:p>
            <w:r>
              <w:t>{{IGE_result}}</w:t>
            </w:r>
          </w:p>
        </w:tc>
        <w:tc>
          <w:tcPr>
            <w:tcW w:w="825" w:type="dxa"/>
            <w:gridSpan w:val="2"/>
            <w:vAlign w:val="center"/>
          </w:tcPr>
          <w:p>
            <w:r>
              <w:t>{{IGE_point}}</w:t>
            </w:r>
          </w:p>
        </w:tc>
        <w:tc>
          <w:tcPr>
            <w:tcW w:w="1980" w:type="dxa"/>
            <w:gridSpan w:val="2"/>
            <w:vAlign w:val="center"/>
          </w:tcPr>
          <w:p>
            <w:r>
              <w:t>{{IGE_refer}}</w:t>
            </w:r>
          </w:p>
        </w:tc>
        <w:tc>
          <w:tcPr>
            <w:tcW w:w="1408" w:type="dxa"/>
            <w:gridSpan w:val="2"/>
            <w:vAlign w:val="center"/>
          </w:tcPr>
          <w:p>
            <w:r>
              <w:t>{{IGE_unit}}</w:t>
            </w:r>
          </w:p>
        </w:tc>
      </w:tr>
      <w:tr w:rsidR="009967D1" w14:paraId="0C2CA443" w14:textId="77777777">
        <w:trPr>
          <w:trHeight w:val="1651"/>
          <w:jc w:val="center"/>
        </w:trPr>
        <w:tc>
          <w:tcPr>
            <w:tcW w:w="9653" w:type="dxa"/>
            <w:gridSpan w:val="11"/>
            <w:vAlign w:val="center"/>
          </w:tcPr>
          <w:p w14:paraId="43334FE4" w14:textId="77777777" w:rsidR="009967D1" w:rsidRDefault="0080134E">
            <w:r>
              <w:rPr>
                <w:b/>
                <w:bCs/>
              </w:rPr>
              <w:lastRenderedPageBreak/>
              <w:t>Clinical Significance:</w:t>
            </w:r>
            <w:r>
              <w:t>Involved in allergic diseases and immune response against parasitic infections; used to assess allergic status and parasitic diseases.</w:t>
            </w:r>
          </w:p>
          <w:p w14:paraId="228CBC9D" w14:textId="77777777" w:rsidR="009967D1" w:rsidRDefault="0080134E">
            <w:r>
              <w:rPr>
                <w:b/>
                <w:bCs/>
              </w:rPr>
              <w:t>临床意义：</w:t>
            </w:r>
            <w:r>
              <w:t>参与过敏性疾病、寄生虫感染免疫应答，评估过敏状态、寄生虫病</w:t>
            </w:r>
            <w:r>
              <w:rPr>
                <w:rFonts w:hint="eastAsia"/>
              </w:rPr>
              <w:t>。</w:t>
            </w:r>
          </w:p>
        </w:tc>
      </w:tr>
    </w:tbl>
    <w:p w14:paraId="27A64DEC" w14:textId="77777777" w:rsidR="009967D1" w:rsidRDefault="009967D1" w:rsidP="004619DA">
      <w:pPr>
        <w:pStyle w:val="0"/>
      </w:pPr>
    </w:p>
    <w:p w14:paraId="32081753"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076E362" w14:textId="77777777">
        <w:trPr>
          <w:trHeight w:hRule="exact" w:val="113"/>
          <w:jc w:val="center"/>
        </w:trPr>
        <w:tc>
          <w:tcPr>
            <w:tcW w:w="1560" w:type="dxa"/>
            <w:gridSpan w:val="2"/>
            <w:tcBorders>
              <w:top w:val="single" w:sz="4" w:space="0" w:color="auto"/>
            </w:tcBorders>
            <w:vAlign w:val="center"/>
          </w:tcPr>
          <w:p w14:paraId="7B7394A7"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C1AD224"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BFC722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EB3985C"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AE8CDA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025428D" w14:textId="77777777" w:rsidR="009967D1" w:rsidRDefault="009967D1">
            <w:pPr>
              <w:spacing w:line="300" w:lineRule="exact"/>
              <w:jc w:val="right"/>
              <w:rPr>
                <w:color w:val="323E4F" w:themeColor="text2" w:themeShade="BF"/>
                <w:sz w:val="2"/>
                <w:szCs w:val="2"/>
              </w:rPr>
            </w:pPr>
          </w:p>
        </w:tc>
      </w:tr>
      <w:tr w:rsidR="009967D1" w14:paraId="75026544" w14:textId="77777777">
        <w:trPr>
          <w:trHeight w:val="432"/>
          <w:jc w:val="center"/>
        </w:trPr>
        <w:tc>
          <w:tcPr>
            <w:tcW w:w="1150" w:type="dxa"/>
            <w:vAlign w:val="center"/>
          </w:tcPr>
          <w:p w14:paraId="6BFDD701" w14:textId="77777777" w:rsidR="009967D1" w:rsidRDefault="0080134E">
            <w:pPr>
              <w:spacing w:line="400" w:lineRule="exact"/>
              <w:jc w:val="center"/>
              <w:rPr>
                <w:b/>
                <w:bCs/>
                <w:color w:val="000000" w:themeColor="text1"/>
                <w:sz w:val="24"/>
              </w:rPr>
            </w:pPr>
            <w:r>
              <w:rPr>
                <w:rFonts w:hint="eastAsia"/>
                <w:b/>
                <w:bCs/>
                <w:color w:val="000000" w:themeColor="text1"/>
                <w:sz w:val="24"/>
              </w:rPr>
              <w:t>C3</w:t>
            </w:r>
          </w:p>
        </w:tc>
        <w:tc>
          <w:tcPr>
            <w:tcW w:w="2536" w:type="dxa"/>
            <w:gridSpan w:val="2"/>
            <w:vAlign w:val="center"/>
          </w:tcPr>
          <w:p w14:paraId="042E283F" w14:textId="77777777" w:rsidR="009967D1" w:rsidRDefault="0080134E">
            <w:pPr>
              <w:spacing w:line="400" w:lineRule="exact"/>
              <w:jc w:val="center"/>
              <w:rPr>
                <w:b/>
                <w:bCs/>
                <w:color w:val="000000" w:themeColor="text1"/>
                <w:sz w:val="24"/>
              </w:rPr>
            </w:pPr>
            <w:r>
              <w:rPr>
                <w:rFonts w:hint="eastAsia"/>
                <w:b/>
                <w:bCs/>
                <w:color w:val="000000" w:themeColor="text1"/>
                <w:sz w:val="24"/>
              </w:rPr>
              <w:t>补体C3</w:t>
            </w:r>
          </w:p>
        </w:tc>
        <w:tc>
          <w:tcPr>
            <w:tcW w:w="1754" w:type="dxa"/>
            <w:gridSpan w:val="2"/>
            <w:vAlign w:val="center"/>
          </w:tcPr>
          <w:p>
            <w:r>
              <w:t>{{C3_result}}</w:t>
            </w:r>
          </w:p>
        </w:tc>
        <w:tc>
          <w:tcPr>
            <w:tcW w:w="825" w:type="dxa"/>
            <w:gridSpan w:val="2"/>
            <w:vAlign w:val="center"/>
          </w:tcPr>
          <w:p>
            <w:r>
              <w:t>{{C3_point}}</w:t>
            </w:r>
          </w:p>
        </w:tc>
        <w:tc>
          <w:tcPr>
            <w:tcW w:w="1980" w:type="dxa"/>
            <w:gridSpan w:val="2"/>
            <w:vAlign w:val="center"/>
          </w:tcPr>
          <w:p>
            <w:r>
              <w:t>{{C3_refer}}</w:t>
            </w:r>
          </w:p>
        </w:tc>
        <w:tc>
          <w:tcPr>
            <w:tcW w:w="1408" w:type="dxa"/>
            <w:gridSpan w:val="2"/>
            <w:vAlign w:val="center"/>
          </w:tcPr>
          <w:p>
            <w:r>
              <w:t>{{C3_unit}}</w:t>
            </w:r>
          </w:p>
        </w:tc>
      </w:tr>
      <w:tr w:rsidR="009967D1" w14:paraId="1ACABB98" w14:textId="77777777">
        <w:trPr>
          <w:trHeight w:val="1651"/>
          <w:jc w:val="center"/>
        </w:trPr>
        <w:tc>
          <w:tcPr>
            <w:tcW w:w="9653" w:type="dxa"/>
            <w:gridSpan w:val="11"/>
            <w:vAlign w:val="center"/>
          </w:tcPr>
          <w:p w14:paraId="77F3D1B8" w14:textId="77777777" w:rsidR="009967D1" w:rsidRDefault="0080134E">
            <w:r>
              <w:rPr>
                <w:b/>
                <w:bCs/>
              </w:rPr>
              <w:t>Clinical Significance:</w:t>
            </w:r>
            <w:r>
              <w:t>A central component of the complement system; plays a role in immune defense and regulation; used in evaluating autoimmune diseases, infectious diseases, and renal disorders.</w:t>
            </w:r>
          </w:p>
          <w:p w14:paraId="5FC16EF6" w14:textId="77777777" w:rsidR="009967D1" w:rsidRDefault="0080134E">
            <w:r>
              <w:rPr>
                <w:b/>
                <w:bCs/>
              </w:rPr>
              <w:t>临床意义：</w:t>
            </w:r>
            <w:r>
              <w:t>补体系统核心成分，参与免疫防御、免疫调节，评估自身免疫病、感染性疾病、肾脏疾病</w:t>
            </w:r>
            <w:r>
              <w:rPr>
                <w:rFonts w:hint="eastAsia"/>
              </w:rPr>
              <w:t>。</w:t>
            </w:r>
          </w:p>
        </w:tc>
      </w:tr>
    </w:tbl>
    <w:p w14:paraId="6E8B8318" w14:textId="77777777" w:rsidR="009967D1" w:rsidRDefault="009967D1" w:rsidP="004619DA">
      <w:pPr>
        <w:pStyle w:val="0"/>
      </w:pPr>
    </w:p>
    <w:p w14:paraId="7931177E"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EEB7535" w14:textId="77777777">
        <w:trPr>
          <w:trHeight w:hRule="exact" w:val="113"/>
          <w:jc w:val="center"/>
        </w:trPr>
        <w:tc>
          <w:tcPr>
            <w:tcW w:w="1560" w:type="dxa"/>
            <w:gridSpan w:val="2"/>
            <w:tcBorders>
              <w:top w:val="single" w:sz="4" w:space="0" w:color="auto"/>
            </w:tcBorders>
            <w:vAlign w:val="center"/>
          </w:tcPr>
          <w:p w14:paraId="6B5F2CA4"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D4070C3"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C32B2F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007BA0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3790073"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4132E7F" w14:textId="77777777" w:rsidR="009967D1" w:rsidRDefault="009967D1">
            <w:pPr>
              <w:spacing w:line="300" w:lineRule="exact"/>
              <w:jc w:val="right"/>
              <w:rPr>
                <w:color w:val="323E4F" w:themeColor="text2" w:themeShade="BF"/>
                <w:sz w:val="2"/>
                <w:szCs w:val="2"/>
              </w:rPr>
            </w:pPr>
          </w:p>
        </w:tc>
      </w:tr>
      <w:tr w:rsidR="009967D1" w14:paraId="21C05E99" w14:textId="77777777">
        <w:trPr>
          <w:trHeight w:val="432"/>
          <w:jc w:val="center"/>
        </w:trPr>
        <w:tc>
          <w:tcPr>
            <w:tcW w:w="1150" w:type="dxa"/>
            <w:vAlign w:val="center"/>
          </w:tcPr>
          <w:p w14:paraId="59FC5F80" w14:textId="77777777" w:rsidR="009967D1" w:rsidRDefault="0080134E">
            <w:pPr>
              <w:spacing w:line="400" w:lineRule="exact"/>
              <w:jc w:val="center"/>
              <w:rPr>
                <w:b/>
                <w:bCs/>
                <w:color w:val="000000" w:themeColor="text1"/>
                <w:sz w:val="24"/>
              </w:rPr>
            </w:pPr>
            <w:r>
              <w:rPr>
                <w:rFonts w:hint="eastAsia"/>
                <w:b/>
                <w:bCs/>
                <w:color w:val="000000" w:themeColor="text1"/>
                <w:sz w:val="24"/>
              </w:rPr>
              <w:t>C4</w:t>
            </w:r>
          </w:p>
        </w:tc>
        <w:tc>
          <w:tcPr>
            <w:tcW w:w="2536" w:type="dxa"/>
            <w:gridSpan w:val="2"/>
            <w:vAlign w:val="center"/>
          </w:tcPr>
          <w:p w14:paraId="41E884E5" w14:textId="77777777" w:rsidR="009967D1" w:rsidRDefault="0080134E">
            <w:pPr>
              <w:spacing w:line="400" w:lineRule="exact"/>
              <w:jc w:val="center"/>
              <w:rPr>
                <w:b/>
                <w:bCs/>
                <w:color w:val="000000" w:themeColor="text1"/>
                <w:sz w:val="24"/>
              </w:rPr>
            </w:pPr>
            <w:r>
              <w:rPr>
                <w:rFonts w:hint="eastAsia"/>
                <w:b/>
                <w:bCs/>
                <w:color w:val="000000" w:themeColor="text1"/>
                <w:sz w:val="24"/>
              </w:rPr>
              <w:t>补体C4</w:t>
            </w:r>
          </w:p>
        </w:tc>
        <w:tc>
          <w:tcPr>
            <w:tcW w:w="1754" w:type="dxa"/>
            <w:gridSpan w:val="2"/>
            <w:vAlign w:val="center"/>
          </w:tcPr>
          <w:p>
            <w:r>
              <w:t>{{C4_result}}</w:t>
            </w:r>
          </w:p>
        </w:tc>
        <w:tc>
          <w:tcPr>
            <w:tcW w:w="825" w:type="dxa"/>
            <w:gridSpan w:val="2"/>
            <w:vAlign w:val="center"/>
          </w:tcPr>
          <w:p>
            <w:r>
              <w:t>{{C4_point}}</w:t>
            </w:r>
          </w:p>
        </w:tc>
        <w:tc>
          <w:tcPr>
            <w:tcW w:w="1980" w:type="dxa"/>
            <w:gridSpan w:val="2"/>
            <w:vAlign w:val="center"/>
          </w:tcPr>
          <w:p>
            <w:r>
              <w:t>{{C4_refer}}</w:t>
            </w:r>
          </w:p>
        </w:tc>
        <w:tc>
          <w:tcPr>
            <w:tcW w:w="1408" w:type="dxa"/>
            <w:gridSpan w:val="2"/>
            <w:vAlign w:val="center"/>
          </w:tcPr>
          <w:p>
            <w:r>
              <w:t>{{C4_unit}}</w:t>
            </w:r>
          </w:p>
        </w:tc>
      </w:tr>
      <w:tr w:rsidR="009967D1" w14:paraId="61E59B86" w14:textId="77777777">
        <w:trPr>
          <w:trHeight w:val="1651"/>
          <w:jc w:val="center"/>
        </w:trPr>
        <w:tc>
          <w:tcPr>
            <w:tcW w:w="9653" w:type="dxa"/>
            <w:gridSpan w:val="11"/>
            <w:vAlign w:val="center"/>
          </w:tcPr>
          <w:p w14:paraId="6BF9C675" w14:textId="77777777" w:rsidR="009967D1" w:rsidRDefault="0080134E">
            <w:r>
              <w:rPr>
                <w:b/>
                <w:bCs/>
              </w:rPr>
              <w:t>Clinical Significance:</w:t>
            </w:r>
            <w:r>
              <w:t>Involved in activation of the classical complement pathway; aids in the diagnosis of autoimmune diseases (e.g., systemic lupus erythematosus) and hereditary complement deficiencies.</w:t>
            </w:r>
          </w:p>
          <w:p w14:paraId="683F5D27" w14:textId="77777777" w:rsidR="009967D1" w:rsidRDefault="0080134E">
            <w:r>
              <w:rPr>
                <w:b/>
                <w:bCs/>
              </w:rPr>
              <w:t>临床意义：</w:t>
            </w:r>
            <w:r>
              <w:t>参与补体经典途径激活，辅助诊断自身免疫病（如系统性红斑狼疮</w:t>
            </w:r>
            <w:r>
              <w:rPr>
                <w:rFonts w:hint="eastAsia"/>
              </w:rPr>
              <w:t>）</w:t>
            </w:r>
            <w:r>
              <w:t>、遗传性补体缺陷病</w:t>
            </w:r>
            <w:r>
              <w:rPr>
                <w:rFonts w:hint="eastAsia"/>
              </w:rPr>
              <w:t>。</w:t>
            </w:r>
          </w:p>
        </w:tc>
      </w:tr>
    </w:tbl>
    <w:p w14:paraId="408C5545"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5FDDBB40" w14:textId="7EFD8DDE" w:rsidR="009967D1" w:rsidRDefault="00520ECD" w:rsidP="00520ECD">
      <w:pPr>
        <w:pStyle w:val="3-"/>
      </w:pPr>
      <w:r w:rsidRPr="00520ECD">
        <w:lastRenderedPageBreak/>
        <w:t xml:space="preserve">Inflammatory </w:t>
      </w:r>
      <w:r>
        <w:t>R</w:t>
      </w:r>
      <w:r w:rsidRPr="00520ECD">
        <w:t>eaction</w:t>
      </w:r>
      <w:r>
        <w:br/>
      </w:r>
      <w:r w:rsidR="0080134E">
        <w:rPr>
          <w:rFonts w:hint="eastAsia"/>
        </w:rPr>
        <w:t>炎症反应</w:t>
      </w:r>
    </w:p>
    <w:p w14:paraId="4F2BB642" w14:textId="77777777" w:rsidR="00520ECD" w:rsidRDefault="00520ECD" w:rsidP="00520ECD">
      <w:pPr>
        <w:pStyle w:val="0"/>
      </w:pPr>
    </w:p>
    <w:p w14:paraId="0BA84D0A" w14:textId="3DE70F99" w:rsidR="00520ECD" w:rsidRDefault="00520ECD" w:rsidP="00520ECD">
      <w:pPr>
        <w:pStyle w:val="00"/>
      </w:pPr>
      <w:r w:rsidRPr="00520ECD">
        <w:t xml:space="preserve">Inflammatory reaction testing is an important laboratory assessment for evaluating the presence of infection, inflammation, or immune abnormalities. The </w:t>
      </w:r>
      <w:proofErr w:type="gramStart"/>
      <w:r w:rsidRPr="00520ECD">
        <w:t>most commonly measured</w:t>
      </w:r>
      <w:proofErr w:type="gramEnd"/>
      <w:r w:rsidRPr="00520ECD">
        <w:t xml:space="preserve"> indicators include C-reactive protein (CRP), erythrocyte sedimentation rate (ESR), and antistreptolysin O (ASO). These markers reflect the intensity and extent of inflammatory activity and are highly valuable for diagnosing acute and chronic infections, rheumatic and autoimmune disorders, as well as for cardiovascular risk assessment.</w:t>
      </w:r>
    </w:p>
    <w:p w14:paraId="53E8450F" w14:textId="77777777" w:rsidR="00520ECD" w:rsidRDefault="00520ECD" w:rsidP="00520ECD">
      <w:pPr>
        <w:pStyle w:val="0"/>
      </w:pPr>
      <w:r>
        <w:t>炎症反应检测是评估机体是否存在感染、炎症或免疫异常的重要实验室检查，常用指标包括</w:t>
      </w:r>
      <w:r>
        <w:t>C</w:t>
      </w:r>
      <w:r>
        <w:t>反应蛋白（</w:t>
      </w:r>
      <w:r>
        <w:t>CRP</w:t>
      </w:r>
      <w:r>
        <w:t>）、红细胞沉降率（</w:t>
      </w:r>
      <w:r>
        <w:t>ESR</w:t>
      </w:r>
      <w:r>
        <w:t>）、抗链球菌溶血素</w:t>
      </w:r>
      <w:r>
        <w:t>“O”</w:t>
      </w:r>
      <w:r>
        <w:t>（</w:t>
      </w:r>
      <w:r>
        <w:t>ASO</w:t>
      </w:r>
      <w:r>
        <w:t>）。这些指标能够反映体内炎症活动的强度和范围，对于急性与慢性感染、风湿免疫性疾病以及心血管风险评估具有重要临床价值。</w:t>
      </w:r>
    </w:p>
    <w:p w14:paraId="10AE3348" w14:textId="5E35F2B0" w:rsidR="00520ECD" w:rsidRDefault="00520ECD" w:rsidP="00520ECD">
      <w:pPr>
        <w:pStyle w:val="00"/>
      </w:pPr>
      <w:r w:rsidRPr="00520ECD">
        <w:t>C-reactive protein (CRP) is an acute-phase protein that rises sharply in response to bacterial infection, tissue damage, or inflammatory stimuli, serving as a sensitive indicator of acute inflammation and infection activity. Erythrocyte sedimentation rate (ESR) measures the rate of red blood cell sedimentation and reflects overall inflammatory and immune responses, making it useful for monitoring chronic inflammation and rheumatic diseases. Antistreptolysin O (ASO) testing helps identify recent streptococcal infections, particularly in the context of rheumatic fever and acute glomerulonephritis.</w:t>
      </w:r>
    </w:p>
    <w:p w14:paraId="05F21B0A" w14:textId="74D38634" w:rsidR="00520ECD" w:rsidRDefault="00520ECD" w:rsidP="00520ECD">
      <w:pPr>
        <w:pStyle w:val="0"/>
      </w:pPr>
      <w:r>
        <w:t>C</w:t>
      </w:r>
      <w:r>
        <w:t>反应蛋白（</w:t>
      </w:r>
      <w:r>
        <w:t>CRP</w:t>
      </w:r>
      <w:r>
        <w:t>）是急性期反应蛋白之一，当机体受到细菌感染、组织损伤或炎症刺激时，其水平迅速升高，是反映急性炎症和感染活动的敏感指标。红细胞沉降率（</w:t>
      </w:r>
      <w:r>
        <w:t>ESR</w:t>
      </w:r>
      <w:r>
        <w:t>）通过测定红细胞沉降速度，反映炎症和免疫反应的总体水平，适合用于慢性炎症及风湿性疾病的监测。抗链球菌溶血素</w:t>
      </w:r>
      <w:r>
        <w:t>“O”</w:t>
      </w:r>
      <w:r>
        <w:t>（</w:t>
      </w:r>
      <w:r>
        <w:t>ASO</w:t>
      </w:r>
      <w:r>
        <w:t>）则用于判断近期是否发生链球菌感染，尤其在风湿热、急性肾小球肾炎等疾病的辅助诊断中具有重要意义。</w:t>
      </w:r>
    </w:p>
    <w:p w14:paraId="340405DB" w14:textId="118140E4" w:rsidR="00520ECD" w:rsidRDefault="00520ECD" w:rsidP="00520ECD">
      <w:pPr>
        <w:pStyle w:val="00"/>
      </w:pPr>
      <w:r w:rsidRPr="00520ECD">
        <w:t>In preventive healthcare, inflammatory marker testing aids in early detection of hidden inflammation and provides valuable insights for monitoring chronic disease progression and treatment efficacy. For instance, cardiovascular diseases are closely associated with chronic low-grade inflammation, and elevated CRP levels may indicate increased risks of myocardial infarction or stroke. For individuals with chronic fatigue, joint pain, recurrent infections, or a family history of autoimmune disorders, regular monitoring of inflammatory markers is especially important.</w:t>
      </w:r>
    </w:p>
    <w:p w14:paraId="67E84766" w14:textId="19617761" w:rsidR="00520ECD" w:rsidRDefault="00520ECD" w:rsidP="00520ECD">
      <w:pPr>
        <w:pStyle w:val="0"/>
      </w:pPr>
      <w:r>
        <w:t>在健康管理中，炎症反应检测不仅有助于早期识别隐匿性炎症，也可用于慢性病进展评估和疗效监测。例如，心血管疾病与慢性低度炎症密切相关，</w:t>
      </w:r>
      <w:r>
        <w:t>CRP</w:t>
      </w:r>
      <w:r>
        <w:t>水平升高往往提示心梗、中风等风险增加。对于长期疲劳、关节疼痛、反复感染或有风湿免疫疾病风险的人群，定期监测炎症指标尤为重要。</w:t>
      </w:r>
    </w:p>
    <w:p w14:paraId="302F2E79" w14:textId="5A8C8170" w:rsidR="00520ECD" w:rsidRPr="00520ECD" w:rsidRDefault="00E0487F" w:rsidP="00520ECD">
      <w:pPr>
        <w:pStyle w:val="0"/>
      </w:pPr>
      <w:r w:rsidRPr="009E1205">
        <w:rPr>
          <w:noProof/>
        </w:rPr>
        <w:drawing>
          <wp:anchor distT="0" distB="0" distL="114300" distR="114300" simplePos="0" relativeHeight="251697152" behindDoc="0" locked="0" layoutInCell="1" allowOverlap="1" wp14:anchorId="5B4E8080" wp14:editId="61AA1A7E">
            <wp:simplePos x="0" y="0"/>
            <wp:positionH relativeFrom="column">
              <wp:posOffset>1857</wp:posOffset>
            </wp:positionH>
            <wp:positionV relativeFrom="paragraph">
              <wp:posOffset>691</wp:posOffset>
            </wp:positionV>
            <wp:extent cx="6080125" cy="1706245"/>
            <wp:effectExtent l="0" t="0" r="3175" b="0"/>
            <wp:wrapNone/>
            <wp:docPr id="11810572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057200" name="图片 1"/>
                    <pic:cNvPicPr/>
                  </pic:nvPicPr>
                  <pic:blipFill rotWithShape="1">
                    <a:blip r:embed="rId30">
                      <a:extLst>
                        <a:ext uri="{28A0092B-C50C-407E-A947-70E740481C1C}">
                          <a14:useLocalDpi xmlns:a14="http://schemas.microsoft.com/office/drawing/2010/main" val="0"/>
                        </a:ext>
                      </a:extLst>
                    </a:blip>
                    <a:srcRect t="35596" b="24868"/>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8656E79" w14:textId="77777777" w:rsidR="009967D1" w:rsidRDefault="0080134E">
      <w:pPr>
        <w:widowControl/>
        <w:jc w:val="left"/>
      </w:pPr>
      <w:r>
        <w:br w:type="page"/>
      </w:r>
    </w:p>
    <w:p w14:paraId="464C0B32"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58AF413" w14:textId="77777777">
        <w:trPr>
          <w:trHeight w:val="839"/>
          <w:jc w:val="center"/>
        </w:trPr>
        <w:tc>
          <w:tcPr>
            <w:tcW w:w="1150" w:type="dxa"/>
            <w:tcBorders>
              <w:top w:val="single" w:sz="4" w:space="0" w:color="auto"/>
              <w:bottom w:val="single" w:sz="4" w:space="0" w:color="auto"/>
            </w:tcBorders>
            <w:vAlign w:val="center"/>
          </w:tcPr>
          <w:p w14:paraId="6E5664F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036B3AF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43C28953"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191AFC5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3B4F382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6929D987"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166CF898" w14:textId="77777777">
        <w:trPr>
          <w:trHeight w:val="1111"/>
          <w:jc w:val="center"/>
        </w:trPr>
        <w:tc>
          <w:tcPr>
            <w:tcW w:w="9653" w:type="dxa"/>
            <w:gridSpan w:val="11"/>
            <w:tcBorders>
              <w:top w:val="single" w:sz="4" w:space="0" w:color="auto"/>
              <w:bottom w:val="single" w:sz="4" w:space="0" w:color="auto"/>
            </w:tcBorders>
            <w:vAlign w:val="center"/>
          </w:tcPr>
          <w:p w14:paraId="3EC2432F" w14:textId="734C50C4"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Inflammatory </w:t>
            </w:r>
            <w:r w:rsidR="00520ECD">
              <w:rPr>
                <w:b/>
                <w:bCs/>
                <w:color w:val="323E4F" w:themeColor="text2" w:themeShade="BF"/>
                <w:sz w:val="32"/>
                <w:szCs w:val="32"/>
              </w:rPr>
              <w:t>R</w:t>
            </w:r>
            <w:r>
              <w:rPr>
                <w:rFonts w:hint="eastAsia"/>
                <w:b/>
                <w:bCs/>
                <w:color w:val="323E4F" w:themeColor="text2" w:themeShade="BF"/>
                <w:sz w:val="32"/>
                <w:szCs w:val="32"/>
              </w:rPr>
              <w:t>eaction</w:t>
            </w:r>
          </w:p>
          <w:p w14:paraId="3D984A73"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炎症反应</w:t>
            </w:r>
          </w:p>
        </w:tc>
      </w:tr>
      <w:tr w:rsidR="009967D1" w14:paraId="3E16075E" w14:textId="77777777">
        <w:trPr>
          <w:trHeight w:hRule="exact" w:val="113"/>
          <w:jc w:val="center"/>
        </w:trPr>
        <w:tc>
          <w:tcPr>
            <w:tcW w:w="1560" w:type="dxa"/>
            <w:gridSpan w:val="2"/>
            <w:tcBorders>
              <w:top w:val="single" w:sz="4" w:space="0" w:color="auto"/>
            </w:tcBorders>
            <w:vAlign w:val="center"/>
          </w:tcPr>
          <w:p w14:paraId="6D89986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2A7FE82"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1DB945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FD5F87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EAAA01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2CB58AF" w14:textId="77777777" w:rsidR="009967D1" w:rsidRDefault="009967D1">
            <w:pPr>
              <w:spacing w:line="300" w:lineRule="exact"/>
              <w:jc w:val="right"/>
              <w:rPr>
                <w:color w:val="323E4F" w:themeColor="text2" w:themeShade="BF"/>
                <w:sz w:val="2"/>
                <w:szCs w:val="2"/>
              </w:rPr>
            </w:pPr>
          </w:p>
        </w:tc>
      </w:tr>
      <w:tr w:rsidR="009967D1" w14:paraId="1F9730A0" w14:textId="77777777">
        <w:trPr>
          <w:trHeight w:val="432"/>
          <w:jc w:val="center"/>
        </w:trPr>
        <w:tc>
          <w:tcPr>
            <w:tcW w:w="1150" w:type="dxa"/>
            <w:vAlign w:val="center"/>
          </w:tcPr>
          <w:p w14:paraId="6E257A29" w14:textId="77777777" w:rsidR="009967D1" w:rsidRDefault="0080134E">
            <w:pPr>
              <w:spacing w:line="400" w:lineRule="exact"/>
              <w:jc w:val="center"/>
              <w:rPr>
                <w:b/>
                <w:bCs/>
                <w:color w:val="000000" w:themeColor="text1"/>
                <w:sz w:val="24"/>
              </w:rPr>
            </w:pPr>
            <w:r>
              <w:rPr>
                <w:rFonts w:hint="eastAsia"/>
                <w:b/>
                <w:bCs/>
                <w:color w:val="000000" w:themeColor="text1"/>
                <w:sz w:val="24"/>
              </w:rPr>
              <w:t>CRP</w:t>
            </w:r>
          </w:p>
        </w:tc>
        <w:tc>
          <w:tcPr>
            <w:tcW w:w="2536" w:type="dxa"/>
            <w:gridSpan w:val="2"/>
            <w:vAlign w:val="center"/>
          </w:tcPr>
          <w:p w14:paraId="2ECC6F02" w14:textId="77777777" w:rsidR="009967D1" w:rsidRDefault="0080134E">
            <w:pPr>
              <w:spacing w:line="400" w:lineRule="exact"/>
              <w:jc w:val="center"/>
              <w:rPr>
                <w:b/>
                <w:bCs/>
                <w:color w:val="000000" w:themeColor="text1"/>
                <w:sz w:val="24"/>
              </w:rPr>
            </w:pPr>
            <w:r>
              <w:rPr>
                <w:rFonts w:hint="eastAsia"/>
                <w:b/>
                <w:bCs/>
                <w:color w:val="000000" w:themeColor="text1"/>
                <w:sz w:val="24"/>
              </w:rPr>
              <w:t>C 反应蛋白</w:t>
            </w:r>
          </w:p>
        </w:tc>
        <w:tc>
          <w:tcPr>
            <w:tcW w:w="1754" w:type="dxa"/>
            <w:gridSpan w:val="2"/>
            <w:vAlign w:val="center"/>
          </w:tcPr>
          <w:p>
            <w:r>
              <w:t>{{CRP_result}}</w:t>
            </w:r>
          </w:p>
        </w:tc>
        <w:tc>
          <w:tcPr>
            <w:tcW w:w="825" w:type="dxa"/>
            <w:gridSpan w:val="2"/>
            <w:vAlign w:val="center"/>
          </w:tcPr>
          <w:p>
            <w:r>
              <w:t>{{CRP_point}}</w:t>
            </w:r>
          </w:p>
        </w:tc>
        <w:tc>
          <w:tcPr>
            <w:tcW w:w="1980" w:type="dxa"/>
            <w:gridSpan w:val="2"/>
            <w:vAlign w:val="center"/>
          </w:tcPr>
          <w:p>
            <w:r>
              <w:t>{{CRP_refer}}</w:t>
            </w:r>
          </w:p>
        </w:tc>
        <w:tc>
          <w:tcPr>
            <w:tcW w:w="1408" w:type="dxa"/>
            <w:gridSpan w:val="2"/>
            <w:vAlign w:val="center"/>
          </w:tcPr>
          <w:p>
            <w:r>
              <w:t>{{CRP_unit}}</w:t>
            </w:r>
          </w:p>
        </w:tc>
      </w:tr>
      <w:tr w:rsidR="009967D1" w14:paraId="53AE7DE7" w14:textId="77777777">
        <w:trPr>
          <w:trHeight w:val="1651"/>
          <w:jc w:val="center"/>
        </w:trPr>
        <w:tc>
          <w:tcPr>
            <w:tcW w:w="9653" w:type="dxa"/>
            <w:gridSpan w:val="11"/>
            <w:vAlign w:val="center"/>
          </w:tcPr>
          <w:p w14:paraId="06312BEA" w14:textId="77777777" w:rsidR="009967D1" w:rsidRDefault="0080134E">
            <w:r>
              <w:rPr>
                <w:b/>
                <w:bCs/>
              </w:rPr>
              <w:t>Clinical Significance:</w:t>
            </w:r>
            <w:r>
              <w:t>An acute-phase protein; rapidly assesses infection, inflammation, and tissue injury.</w:t>
            </w:r>
          </w:p>
          <w:p w14:paraId="276E75EB" w14:textId="77777777" w:rsidR="009967D1" w:rsidRDefault="0080134E">
            <w:r>
              <w:rPr>
                <w:b/>
                <w:bCs/>
              </w:rPr>
              <w:t>临床意义：</w:t>
            </w:r>
            <w:r>
              <w:t>急性时相反应蛋白，快速评估感染、炎症、组织损伤程度</w:t>
            </w:r>
            <w:r>
              <w:rPr>
                <w:rFonts w:hint="eastAsia"/>
              </w:rPr>
              <w:t>。</w:t>
            </w:r>
          </w:p>
        </w:tc>
      </w:tr>
    </w:tbl>
    <w:p w14:paraId="6820F656" w14:textId="77777777" w:rsidR="009967D1" w:rsidRDefault="009967D1" w:rsidP="004619DA">
      <w:pPr>
        <w:pStyle w:val="0"/>
      </w:pPr>
    </w:p>
    <w:p w14:paraId="53971EE7"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2505435" w14:textId="77777777">
        <w:trPr>
          <w:trHeight w:hRule="exact" w:val="113"/>
          <w:jc w:val="center"/>
        </w:trPr>
        <w:tc>
          <w:tcPr>
            <w:tcW w:w="1560" w:type="dxa"/>
            <w:gridSpan w:val="2"/>
            <w:tcBorders>
              <w:top w:val="single" w:sz="4" w:space="0" w:color="auto"/>
            </w:tcBorders>
            <w:vAlign w:val="center"/>
          </w:tcPr>
          <w:p w14:paraId="67895FB4"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C2969C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BCC2559"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1C1C5A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1C8C7AC"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EA1052C" w14:textId="77777777" w:rsidR="009967D1" w:rsidRDefault="009967D1">
            <w:pPr>
              <w:spacing w:line="300" w:lineRule="exact"/>
              <w:jc w:val="right"/>
              <w:rPr>
                <w:color w:val="323E4F" w:themeColor="text2" w:themeShade="BF"/>
                <w:sz w:val="2"/>
                <w:szCs w:val="2"/>
              </w:rPr>
            </w:pPr>
          </w:p>
        </w:tc>
      </w:tr>
      <w:tr w:rsidR="009967D1" w14:paraId="335F3877" w14:textId="77777777">
        <w:trPr>
          <w:trHeight w:val="432"/>
          <w:jc w:val="center"/>
        </w:trPr>
        <w:tc>
          <w:tcPr>
            <w:tcW w:w="1150" w:type="dxa"/>
            <w:vAlign w:val="center"/>
          </w:tcPr>
          <w:p w14:paraId="4EBB4C65" w14:textId="77777777" w:rsidR="009967D1" w:rsidRDefault="0080134E">
            <w:pPr>
              <w:spacing w:line="400" w:lineRule="exact"/>
              <w:jc w:val="center"/>
              <w:rPr>
                <w:b/>
                <w:bCs/>
                <w:color w:val="000000" w:themeColor="text1"/>
                <w:sz w:val="24"/>
              </w:rPr>
            </w:pPr>
            <w:r>
              <w:rPr>
                <w:rFonts w:hint="eastAsia"/>
                <w:b/>
                <w:bCs/>
                <w:color w:val="000000" w:themeColor="text1"/>
                <w:sz w:val="24"/>
              </w:rPr>
              <w:t>ESR</w:t>
            </w:r>
          </w:p>
        </w:tc>
        <w:tc>
          <w:tcPr>
            <w:tcW w:w="2536" w:type="dxa"/>
            <w:gridSpan w:val="2"/>
            <w:vAlign w:val="center"/>
          </w:tcPr>
          <w:p w14:paraId="026EA20D"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红细胞沉降率 </w:t>
            </w:r>
          </w:p>
        </w:tc>
        <w:tc>
          <w:tcPr>
            <w:tcW w:w="1754" w:type="dxa"/>
            <w:gridSpan w:val="2"/>
            <w:vAlign w:val="center"/>
          </w:tcPr>
          <w:p>
            <w:r>
              <w:t>{{ESR_result}}</w:t>
            </w:r>
          </w:p>
        </w:tc>
        <w:tc>
          <w:tcPr>
            <w:tcW w:w="825" w:type="dxa"/>
            <w:gridSpan w:val="2"/>
            <w:vAlign w:val="center"/>
          </w:tcPr>
          <w:p>
            <w:r>
              <w:t>{{ESR_point}}</w:t>
            </w:r>
          </w:p>
        </w:tc>
        <w:tc>
          <w:tcPr>
            <w:tcW w:w="1980" w:type="dxa"/>
            <w:gridSpan w:val="2"/>
            <w:vAlign w:val="center"/>
          </w:tcPr>
          <w:p>
            <w:r>
              <w:t>{{ESR_refer}}</w:t>
            </w:r>
          </w:p>
        </w:tc>
        <w:tc>
          <w:tcPr>
            <w:tcW w:w="1408" w:type="dxa"/>
            <w:gridSpan w:val="2"/>
            <w:vAlign w:val="center"/>
          </w:tcPr>
          <w:p>
            <w:r>
              <w:t>{{ESR_unit}}</w:t>
            </w:r>
          </w:p>
        </w:tc>
      </w:tr>
      <w:tr w:rsidR="009967D1" w14:paraId="2E4BAE8F" w14:textId="77777777">
        <w:trPr>
          <w:trHeight w:val="1651"/>
          <w:jc w:val="center"/>
        </w:trPr>
        <w:tc>
          <w:tcPr>
            <w:tcW w:w="9653" w:type="dxa"/>
            <w:gridSpan w:val="11"/>
            <w:vAlign w:val="center"/>
          </w:tcPr>
          <w:p w14:paraId="6705EF64" w14:textId="77777777" w:rsidR="009967D1" w:rsidRDefault="0080134E">
            <w:r>
              <w:rPr>
                <w:b/>
                <w:bCs/>
              </w:rPr>
              <w:t>Clinical Significance:</w:t>
            </w:r>
            <w:r>
              <w:t>Indirectly reflects inflammation, tissue damage, and anemia; assists in diagnosing infections, autoimmune diseases, and malignancies.</w:t>
            </w:r>
          </w:p>
          <w:p w14:paraId="69BDB813" w14:textId="77777777" w:rsidR="009967D1" w:rsidRDefault="0080134E">
            <w:r>
              <w:rPr>
                <w:b/>
                <w:bCs/>
              </w:rPr>
              <w:t>临床意义：</w:t>
            </w:r>
            <w:r>
              <w:t>间接反映炎症、组织损伤、贫血等，辅助诊断感染、自身免疫病、肿瘤</w:t>
            </w:r>
            <w:r>
              <w:rPr>
                <w:rFonts w:hint="eastAsia"/>
              </w:rPr>
              <w:t>。</w:t>
            </w:r>
          </w:p>
        </w:tc>
      </w:tr>
    </w:tbl>
    <w:p w14:paraId="28746EE1" w14:textId="77777777" w:rsidR="009967D1" w:rsidRDefault="009967D1" w:rsidP="004619DA">
      <w:pPr>
        <w:pStyle w:val="0"/>
      </w:pPr>
    </w:p>
    <w:p w14:paraId="15CE79C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8BA1896" w14:textId="77777777">
        <w:trPr>
          <w:trHeight w:hRule="exact" w:val="113"/>
          <w:jc w:val="center"/>
        </w:trPr>
        <w:tc>
          <w:tcPr>
            <w:tcW w:w="1560" w:type="dxa"/>
            <w:gridSpan w:val="2"/>
            <w:tcBorders>
              <w:top w:val="single" w:sz="4" w:space="0" w:color="auto"/>
            </w:tcBorders>
            <w:vAlign w:val="center"/>
          </w:tcPr>
          <w:p w14:paraId="2D23223C"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7E52832"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D43DC2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F62BEA1"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A38124F"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4234927" w14:textId="77777777" w:rsidR="009967D1" w:rsidRDefault="009967D1">
            <w:pPr>
              <w:spacing w:line="300" w:lineRule="exact"/>
              <w:jc w:val="right"/>
              <w:rPr>
                <w:color w:val="323E4F" w:themeColor="text2" w:themeShade="BF"/>
                <w:sz w:val="2"/>
                <w:szCs w:val="2"/>
              </w:rPr>
            </w:pPr>
          </w:p>
        </w:tc>
      </w:tr>
      <w:tr w:rsidR="009967D1" w14:paraId="66F4E728" w14:textId="77777777">
        <w:trPr>
          <w:trHeight w:val="432"/>
          <w:jc w:val="center"/>
        </w:trPr>
        <w:tc>
          <w:tcPr>
            <w:tcW w:w="1150" w:type="dxa"/>
            <w:vAlign w:val="center"/>
          </w:tcPr>
          <w:p w14:paraId="764E0DE7" w14:textId="77777777" w:rsidR="009967D1" w:rsidRDefault="0080134E">
            <w:pPr>
              <w:spacing w:line="400" w:lineRule="exact"/>
              <w:jc w:val="center"/>
              <w:rPr>
                <w:b/>
                <w:bCs/>
                <w:color w:val="000000" w:themeColor="text1"/>
                <w:sz w:val="24"/>
              </w:rPr>
            </w:pPr>
            <w:r>
              <w:rPr>
                <w:rFonts w:hint="eastAsia"/>
                <w:b/>
                <w:bCs/>
                <w:color w:val="000000" w:themeColor="text1"/>
                <w:sz w:val="24"/>
              </w:rPr>
              <w:t>ASO</w:t>
            </w:r>
          </w:p>
        </w:tc>
        <w:tc>
          <w:tcPr>
            <w:tcW w:w="2536" w:type="dxa"/>
            <w:gridSpan w:val="2"/>
            <w:vAlign w:val="center"/>
          </w:tcPr>
          <w:p w14:paraId="2B7847D6" w14:textId="77777777" w:rsidR="009967D1" w:rsidRDefault="0080134E">
            <w:pPr>
              <w:spacing w:line="400" w:lineRule="exact"/>
              <w:jc w:val="center"/>
              <w:rPr>
                <w:b/>
                <w:bCs/>
                <w:color w:val="000000" w:themeColor="text1"/>
                <w:sz w:val="24"/>
              </w:rPr>
            </w:pPr>
            <w:r>
              <w:rPr>
                <w:rFonts w:hint="eastAsia"/>
                <w:b/>
                <w:bCs/>
                <w:color w:val="000000" w:themeColor="text1"/>
                <w:sz w:val="24"/>
              </w:rPr>
              <w:t>抗链球菌溶血素"0"</w:t>
            </w:r>
          </w:p>
        </w:tc>
        <w:tc>
          <w:tcPr>
            <w:tcW w:w="1754" w:type="dxa"/>
            <w:gridSpan w:val="2"/>
            <w:vAlign w:val="center"/>
          </w:tcPr>
          <w:p>
            <w:r>
              <w:t>{{ASO_result}}</w:t>
            </w:r>
          </w:p>
        </w:tc>
        <w:tc>
          <w:tcPr>
            <w:tcW w:w="825" w:type="dxa"/>
            <w:gridSpan w:val="2"/>
            <w:vAlign w:val="center"/>
          </w:tcPr>
          <w:p>
            <w:r>
              <w:t>{{ASO_point}}</w:t>
            </w:r>
          </w:p>
        </w:tc>
        <w:tc>
          <w:tcPr>
            <w:tcW w:w="1980" w:type="dxa"/>
            <w:gridSpan w:val="2"/>
            <w:vAlign w:val="center"/>
          </w:tcPr>
          <w:p>
            <w:r>
              <w:t>{{ASO_refer}}</w:t>
            </w:r>
          </w:p>
        </w:tc>
        <w:tc>
          <w:tcPr>
            <w:tcW w:w="1408" w:type="dxa"/>
            <w:gridSpan w:val="2"/>
            <w:vAlign w:val="center"/>
          </w:tcPr>
          <w:p>
            <w:r>
              <w:t>{{ASO_unit}}</w:t>
            </w:r>
          </w:p>
        </w:tc>
      </w:tr>
      <w:tr w:rsidR="009967D1" w14:paraId="3A0B4516" w14:textId="77777777">
        <w:trPr>
          <w:trHeight w:val="1651"/>
          <w:jc w:val="center"/>
        </w:trPr>
        <w:tc>
          <w:tcPr>
            <w:tcW w:w="9653" w:type="dxa"/>
            <w:gridSpan w:val="11"/>
            <w:vAlign w:val="center"/>
          </w:tcPr>
          <w:p w14:paraId="5C54DDAB" w14:textId="77777777" w:rsidR="009967D1" w:rsidRDefault="0080134E">
            <w:r>
              <w:rPr>
                <w:b/>
                <w:bCs/>
              </w:rPr>
              <w:t>Clinical Significance:</w:t>
            </w:r>
            <w:r>
              <w:t>Used to diagnose Group A β-hemolytic streptococcal infections (e.g., scarlet fever, rheumatic fever, acute glomerulonephritis); reflects recent infection history.</w:t>
            </w:r>
          </w:p>
          <w:p w14:paraId="3EC8D7CA" w14:textId="77777777" w:rsidR="009967D1" w:rsidRDefault="0080134E">
            <w:r>
              <w:rPr>
                <w:b/>
                <w:bCs/>
              </w:rPr>
              <w:t>临床意义：</w:t>
            </w:r>
            <w:r>
              <w:t>诊断A组溶血性链球菌感染（如猩红热、风湿热、急性肾小球肾炎</w:t>
            </w:r>
            <w:r>
              <w:rPr>
                <w:rFonts w:hint="eastAsia"/>
              </w:rPr>
              <w:t>）</w:t>
            </w:r>
            <w:r>
              <w:t>，评估近期感染史</w:t>
            </w:r>
            <w:r>
              <w:rPr>
                <w:rFonts w:hint="eastAsia"/>
              </w:rPr>
              <w:t>。</w:t>
            </w:r>
          </w:p>
        </w:tc>
      </w:tr>
    </w:tbl>
    <w:p w14:paraId="5D663BA0"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662C9D35" w14:textId="567409DE" w:rsidR="009967D1" w:rsidRDefault="00C10914" w:rsidP="00C10914">
      <w:pPr>
        <w:pStyle w:val="3-"/>
      </w:pPr>
      <w:r w:rsidRPr="00C10914">
        <w:lastRenderedPageBreak/>
        <w:t>Autoantibody</w:t>
      </w:r>
      <w:r>
        <w:br/>
      </w:r>
      <w:r w:rsidR="0080134E">
        <w:rPr>
          <w:rFonts w:hint="eastAsia"/>
        </w:rPr>
        <w:t>自身抗体</w:t>
      </w:r>
    </w:p>
    <w:p w14:paraId="18FA22B8" w14:textId="77777777" w:rsidR="00C10914" w:rsidRDefault="00C10914" w:rsidP="00C10914">
      <w:pPr>
        <w:pStyle w:val="0"/>
      </w:pPr>
    </w:p>
    <w:p w14:paraId="20FF2FD3" w14:textId="5C243864" w:rsidR="00C10914" w:rsidRDefault="00C10914" w:rsidP="00C10914">
      <w:pPr>
        <w:pStyle w:val="00"/>
      </w:pPr>
      <w:r w:rsidRPr="00C10914">
        <w:t>Autoantibody testing is a fundamental laboratory evaluation for assessing immune abnormalities and diagnosing autoimmune diseases. The most common indicators include antinuclear antibody (ANA) and rheumatoid factor (RF). Autoantibodies are antibodies produced by the immune system against the body’s own tissues or components, and their presence often indicates a breakdown of immune tolerance, which is associated with chronic inflammatory and autoimmune disorders.</w:t>
      </w:r>
    </w:p>
    <w:p w14:paraId="058EEF93" w14:textId="11C9EF39" w:rsidR="00C10914" w:rsidRDefault="00C10914" w:rsidP="00C10914">
      <w:pPr>
        <w:pStyle w:val="0"/>
      </w:pPr>
      <w:r>
        <w:t>自身抗体检测是评估机体免疫系统是否存在异常、自身免疫性疾病的重要实验室检查，常用指标包括抗核抗体（</w:t>
      </w:r>
      <w:r>
        <w:t>ANA</w:t>
      </w:r>
      <w:r>
        <w:t>）和类风湿因子（</w:t>
      </w:r>
      <w:r>
        <w:t>RF</w:t>
      </w:r>
      <w:r>
        <w:t>）。自身抗体是机体免疫系统针对自身组织或成分产生的抗体，其出现往往提示免疫耐受机制的破坏，可能与多种慢性炎症性疾病和自身免疫疾病相关。</w:t>
      </w:r>
    </w:p>
    <w:p w14:paraId="578992AC" w14:textId="42A8ABD0" w:rsidR="00C10914" w:rsidRDefault="00C10914" w:rsidP="00C10914">
      <w:pPr>
        <w:pStyle w:val="00"/>
      </w:pPr>
      <w:r w:rsidRPr="00C10914">
        <w:t>Antinuclear antibody (ANA) is the most widely used screening marker for autoimmune diseases and plays a critical role in diagnosing systemic lupus erythematosus (SLE), Sjögren’s syndrome, scleroderma, dermatomyositis, and others. While ANA positivity does not necessarily confirm disease, its titer and pattern can provide insights into autoimmune activity. Rheumatoid factor (RF) is a key serological marker for rheumatoid arthritis but may also be elevated in other autoimmune conditions, chronic infections, or in the elderly.</w:t>
      </w:r>
    </w:p>
    <w:p w14:paraId="53CCBA22" w14:textId="7FCC69DD" w:rsidR="00C10914" w:rsidRDefault="00C10914" w:rsidP="00C10914">
      <w:pPr>
        <w:pStyle w:val="0"/>
      </w:pPr>
      <w:r>
        <w:t>抗核抗体（</w:t>
      </w:r>
      <w:r>
        <w:t>ANA</w:t>
      </w:r>
      <w:r>
        <w:t>）是最常见、最基础的自身抗体筛查指标，广泛用于系统性红斑狼疮（</w:t>
      </w:r>
      <w:r>
        <w:t>SLE</w:t>
      </w:r>
      <w:r>
        <w:t>）、干燥综合征、硬皮病、皮肌炎等疾病的诊断与鉴别。</w:t>
      </w:r>
      <w:r>
        <w:t>ANA</w:t>
      </w:r>
      <w:r>
        <w:t>阳性并不等于一定患病，但其滴度及类型可以提示自身免疫反应的活跃程度。类风湿因子（</w:t>
      </w:r>
      <w:r>
        <w:t>RF</w:t>
      </w:r>
      <w:r>
        <w:t>）是类风湿关节炎的重要血清学标志物，也可能在其他自身免疫疾病、慢性感染或老年人群中出现升高。</w:t>
      </w:r>
    </w:p>
    <w:p w14:paraId="700D8889" w14:textId="228D9933" w:rsidR="00C10914" w:rsidRDefault="00C10914" w:rsidP="00C10914">
      <w:pPr>
        <w:pStyle w:val="00"/>
      </w:pPr>
      <w:r w:rsidRPr="00C10914">
        <w:t>In both clinical practice and health management, autoantibody testing is valuable for the early detection of potential immune abnormalities. For individuals with chronic joint pain, rashes, dry mouth, fatigue, or a family history of autoimmune diseases, regular monitoring offers an early warning and supports personalized interventions. Additionally, these tests are useful in chronic disease management and evaluating the efficacy of immune-modulating therapies.</w:t>
      </w:r>
    </w:p>
    <w:p w14:paraId="6D83335D" w14:textId="523BD5F9" w:rsidR="00C10914" w:rsidRDefault="00C10914" w:rsidP="00C10914">
      <w:pPr>
        <w:pStyle w:val="0"/>
      </w:pPr>
      <w:r>
        <w:t>在健康管理和临床应用中，自身抗体检测的意义在于早期识别潜在的免疫异常，尤其是对于长期关节疼痛、皮疹、口干、疲劳或有家族自身免疫病史的人群，定期监测可作为疾病预警与个性化干预的依据。同时，该检测对于慢病管理、免疫调节疗效评价也具有参考价值。</w:t>
      </w:r>
    </w:p>
    <w:p w14:paraId="26F5531B" w14:textId="2FF946C1" w:rsidR="00E0487F" w:rsidRDefault="00E0487F" w:rsidP="00C10914">
      <w:pPr>
        <w:pStyle w:val="0"/>
      </w:pPr>
      <w:r w:rsidRPr="009E1205">
        <w:rPr>
          <w:noProof/>
        </w:rPr>
        <w:drawing>
          <wp:anchor distT="0" distB="0" distL="114300" distR="114300" simplePos="0" relativeHeight="251699200" behindDoc="0" locked="0" layoutInCell="1" allowOverlap="1" wp14:anchorId="01CE3937" wp14:editId="194711B9">
            <wp:simplePos x="0" y="0"/>
            <wp:positionH relativeFrom="column">
              <wp:posOffset>1270</wp:posOffset>
            </wp:positionH>
            <wp:positionV relativeFrom="paragraph">
              <wp:posOffset>344805</wp:posOffset>
            </wp:positionV>
            <wp:extent cx="6080125" cy="1706245"/>
            <wp:effectExtent l="0" t="0" r="3175" b="0"/>
            <wp:wrapNone/>
            <wp:docPr id="20200705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070572" name="图片 1"/>
                    <pic:cNvPicPr/>
                  </pic:nvPicPr>
                  <pic:blipFill rotWithShape="1">
                    <a:blip r:embed="rId31">
                      <a:extLst>
                        <a:ext uri="{28A0092B-C50C-407E-A947-70E740481C1C}">
                          <a14:useLocalDpi xmlns:a14="http://schemas.microsoft.com/office/drawing/2010/main" val="0"/>
                        </a:ext>
                      </a:extLst>
                    </a:blip>
                    <a:srcRect t="22068" b="28146"/>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81C4997" w14:textId="4329A705" w:rsidR="00C10914" w:rsidRPr="00C10914" w:rsidRDefault="00C10914" w:rsidP="00C10914">
      <w:pPr>
        <w:pStyle w:val="0"/>
      </w:pPr>
    </w:p>
    <w:p w14:paraId="5897DE35" w14:textId="77777777" w:rsidR="009967D1" w:rsidRDefault="0080134E">
      <w:pPr>
        <w:widowControl/>
        <w:jc w:val="left"/>
      </w:pPr>
      <w:r>
        <w:br w:type="page"/>
      </w:r>
    </w:p>
    <w:p w14:paraId="55347CEE"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DD0963A" w14:textId="77777777">
        <w:trPr>
          <w:trHeight w:val="839"/>
          <w:jc w:val="center"/>
        </w:trPr>
        <w:tc>
          <w:tcPr>
            <w:tcW w:w="1150" w:type="dxa"/>
            <w:tcBorders>
              <w:top w:val="single" w:sz="4" w:space="0" w:color="auto"/>
              <w:bottom w:val="single" w:sz="4" w:space="0" w:color="auto"/>
            </w:tcBorders>
            <w:vAlign w:val="center"/>
          </w:tcPr>
          <w:p w14:paraId="59A9A2F5"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5BDD6B7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586FB11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4FEA379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6763937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721C2BFE"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167064A7" w14:textId="77777777">
        <w:trPr>
          <w:trHeight w:val="1111"/>
          <w:jc w:val="center"/>
        </w:trPr>
        <w:tc>
          <w:tcPr>
            <w:tcW w:w="9653" w:type="dxa"/>
            <w:gridSpan w:val="11"/>
            <w:tcBorders>
              <w:top w:val="single" w:sz="4" w:space="0" w:color="auto"/>
              <w:bottom w:val="single" w:sz="4" w:space="0" w:color="auto"/>
            </w:tcBorders>
            <w:vAlign w:val="center"/>
          </w:tcPr>
          <w:p w14:paraId="061FF894"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Autoantibody</w:t>
            </w:r>
          </w:p>
          <w:p w14:paraId="13900083"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自身抗体</w:t>
            </w:r>
          </w:p>
        </w:tc>
      </w:tr>
      <w:tr w:rsidR="009967D1" w14:paraId="2044BE2D" w14:textId="77777777">
        <w:trPr>
          <w:trHeight w:hRule="exact" w:val="113"/>
          <w:jc w:val="center"/>
        </w:trPr>
        <w:tc>
          <w:tcPr>
            <w:tcW w:w="1560" w:type="dxa"/>
            <w:gridSpan w:val="2"/>
            <w:tcBorders>
              <w:top w:val="single" w:sz="4" w:space="0" w:color="auto"/>
            </w:tcBorders>
            <w:vAlign w:val="center"/>
          </w:tcPr>
          <w:p w14:paraId="70D223F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8B9ED7B"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FD8572F"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9957533"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5BDF82D"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3E6973C" w14:textId="77777777" w:rsidR="009967D1" w:rsidRDefault="009967D1">
            <w:pPr>
              <w:spacing w:line="300" w:lineRule="exact"/>
              <w:jc w:val="right"/>
              <w:rPr>
                <w:color w:val="323E4F" w:themeColor="text2" w:themeShade="BF"/>
                <w:sz w:val="2"/>
                <w:szCs w:val="2"/>
              </w:rPr>
            </w:pPr>
          </w:p>
        </w:tc>
      </w:tr>
      <w:tr w:rsidR="009967D1" w14:paraId="34E791D4" w14:textId="77777777">
        <w:trPr>
          <w:trHeight w:val="432"/>
          <w:jc w:val="center"/>
        </w:trPr>
        <w:tc>
          <w:tcPr>
            <w:tcW w:w="1150" w:type="dxa"/>
            <w:vAlign w:val="center"/>
          </w:tcPr>
          <w:p w14:paraId="084094F9" w14:textId="77777777" w:rsidR="009967D1" w:rsidRDefault="0080134E">
            <w:pPr>
              <w:spacing w:line="400" w:lineRule="exact"/>
              <w:jc w:val="center"/>
              <w:rPr>
                <w:b/>
                <w:bCs/>
                <w:color w:val="000000" w:themeColor="text1"/>
                <w:sz w:val="24"/>
              </w:rPr>
            </w:pPr>
            <w:r>
              <w:rPr>
                <w:rFonts w:hint="eastAsia"/>
                <w:b/>
                <w:bCs/>
                <w:color w:val="000000" w:themeColor="text1"/>
                <w:sz w:val="24"/>
              </w:rPr>
              <w:t>ANA</w:t>
            </w:r>
          </w:p>
        </w:tc>
        <w:tc>
          <w:tcPr>
            <w:tcW w:w="2536" w:type="dxa"/>
            <w:gridSpan w:val="2"/>
            <w:vAlign w:val="center"/>
          </w:tcPr>
          <w:p w14:paraId="309FD905" w14:textId="77777777" w:rsidR="009967D1" w:rsidRDefault="0080134E">
            <w:pPr>
              <w:spacing w:line="400" w:lineRule="exact"/>
              <w:jc w:val="center"/>
              <w:rPr>
                <w:b/>
                <w:bCs/>
                <w:color w:val="000000" w:themeColor="text1"/>
                <w:sz w:val="24"/>
              </w:rPr>
            </w:pPr>
            <w:r>
              <w:rPr>
                <w:rFonts w:hint="eastAsia"/>
                <w:b/>
                <w:bCs/>
                <w:color w:val="000000" w:themeColor="text1"/>
                <w:sz w:val="24"/>
              </w:rPr>
              <w:t>抗核抗体</w:t>
            </w:r>
          </w:p>
        </w:tc>
        <w:tc>
          <w:tcPr>
            <w:tcW w:w="1754" w:type="dxa"/>
            <w:gridSpan w:val="2"/>
            <w:vAlign w:val="center"/>
          </w:tcPr>
          <w:p>
            <w:r>
              <w:t>{{ANA_result}}</w:t>
            </w:r>
          </w:p>
        </w:tc>
        <w:tc>
          <w:tcPr>
            <w:tcW w:w="825" w:type="dxa"/>
            <w:gridSpan w:val="2"/>
            <w:vAlign w:val="center"/>
          </w:tcPr>
          <w:p>
            <w:r>
              <w:t>{{ANA_point}}</w:t>
            </w:r>
          </w:p>
        </w:tc>
        <w:tc>
          <w:tcPr>
            <w:tcW w:w="1980" w:type="dxa"/>
            <w:gridSpan w:val="2"/>
            <w:vAlign w:val="center"/>
          </w:tcPr>
          <w:p>
            <w:r>
              <w:t>{{ANA_refer}}</w:t>
            </w:r>
          </w:p>
        </w:tc>
        <w:tc>
          <w:tcPr>
            <w:tcW w:w="1408" w:type="dxa"/>
            <w:gridSpan w:val="2"/>
            <w:vAlign w:val="center"/>
          </w:tcPr>
          <w:p>
            <w:r>
              <w:t>{{ANA_unit}}</w:t>
            </w:r>
          </w:p>
        </w:tc>
      </w:tr>
      <w:tr w:rsidR="009967D1" w14:paraId="4173168B" w14:textId="77777777">
        <w:trPr>
          <w:trHeight w:val="1651"/>
          <w:jc w:val="center"/>
        </w:trPr>
        <w:tc>
          <w:tcPr>
            <w:tcW w:w="9653" w:type="dxa"/>
            <w:gridSpan w:val="11"/>
            <w:vAlign w:val="center"/>
          </w:tcPr>
          <w:p w14:paraId="32D23201" w14:textId="77777777" w:rsidR="009967D1" w:rsidRDefault="0080134E">
            <w:r>
              <w:rPr>
                <w:b/>
                <w:bCs/>
              </w:rPr>
              <w:t>Clinical Significance:</w:t>
            </w:r>
            <w:r>
              <w:t>A screening marker for autoimmune diseases (particularly connective tissue diseases); used in evaluating systemic lupus erythematosus, rheumatoid arthritis, and Sjögren’s syndrome.</w:t>
            </w:r>
          </w:p>
          <w:p w14:paraId="44D52ED9" w14:textId="77777777" w:rsidR="009967D1" w:rsidRDefault="0080134E">
            <w:r>
              <w:rPr>
                <w:b/>
                <w:bCs/>
              </w:rPr>
              <w:t>临床意义：</w:t>
            </w:r>
            <w:r>
              <w:t>自身免疫病（尤其是结缔组织病</w:t>
            </w:r>
            <w:r>
              <w:rPr>
                <w:rFonts w:hint="eastAsia"/>
              </w:rPr>
              <w:t>）</w:t>
            </w:r>
            <w:r>
              <w:t>的筛查指标，评估系统性红斑狼疮、类风湿关节炎、干燥综合征等</w:t>
            </w:r>
            <w:r>
              <w:rPr>
                <w:rFonts w:hint="eastAsia"/>
              </w:rPr>
              <w:t>。</w:t>
            </w:r>
          </w:p>
        </w:tc>
      </w:tr>
    </w:tbl>
    <w:p w14:paraId="7734B8EC" w14:textId="77777777" w:rsidR="009967D1" w:rsidRDefault="009967D1" w:rsidP="004619DA">
      <w:pPr>
        <w:pStyle w:val="0"/>
      </w:pPr>
    </w:p>
    <w:p w14:paraId="3CA71B3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870848C" w14:textId="77777777">
        <w:trPr>
          <w:trHeight w:hRule="exact" w:val="113"/>
          <w:jc w:val="center"/>
        </w:trPr>
        <w:tc>
          <w:tcPr>
            <w:tcW w:w="1560" w:type="dxa"/>
            <w:gridSpan w:val="2"/>
            <w:tcBorders>
              <w:top w:val="single" w:sz="4" w:space="0" w:color="auto"/>
            </w:tcBorders>
            <w:vAlign w:val="center"/>
          </w:tcPr>
          <w:p w14:paraId="71CAD807"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DCE6B5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2F8F0E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33E90E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249D69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5BA558B" w14:textId="77777777" w:rsidR="009967D1" w:rsidRDefault="009967D1">
            <w:pPr>
              <w:spacing w:line="300" w:lineRule="exact"/>
              <w:jc w:val="right"/>
              <w:rPr>
                <w:color w:val="323E4F" w:themeColor="text2" w:themeShade="BF"/>
                <w:sz w:val="2"/>
                <w:szCs w:val="2"/>
              </w:rPr>
            </w:pPr>
          </w:p>
        </w:tc>
      </w:tr>
      <w:tr w:rsidR="009967D1" w14:paraId="26370BE8" w14:textId="77777777">
        <w:trPr>
          <w:trHeight w:val="432"/>
          <w:jc w:val="center"/>
        </w:trPr>
        <w:tc>
          <w:tcPr>
            <w:tcW w:w="1150" w:type="dxa"/>
            <w:vAlign w:val="center"/>
          </w:tcPr>
          <w:p w14:paraId="7F99BA89" w14:textId="77777777" w:rsidR="009967D1" w:rsidRDefault="0080134E">
            <w:pPr>
              <w:spacing w:line="400" w:lineRule="exact"/>
              <w:jc w:val="center"/>
              <w:rPr>
                <w:b/>
                <w:bCs/>
                <w:color w:val="000000" w:themeColor="text1"/>
                <w:sz w:val="24"/>
              </w:rPr>
            </w:pPr>
            <w:r>
              <w:rPr>
                <w:rFonts w:hint="eastAsia"/>
                <w:b/>
                <w:bCs/>
                <w:color w:val="000000" w:themeColor="text1"/>
                <w:sz w:val="24"/>
              </w:rPr>
              <w:t>RF</w:t>
            </w:r>
          </w:p>
        </w:tc>
        <w:tc>
          <w:tcPr>
            <w:tcW w:w="2536" w:type="dxa"/>
            <w:gridSpan w:val="2"/>
            <w:vAlign w:val="center"/>
          </w:tcPr>
          <w:p w14:paraId="47960524" w14:textId="77777777" w:rsidR="009967D1" w:rsidRDefault="0080134E">
            <w:pPr>
              <w:spacing w:line="400" w:lineRule="exact"/>
              <w:jc w:val="center"/>
              <w:rPr>
                <w:b/>
                <w:bCs/>
                <w:color w:val="000000" w:themeColor="text1"/>
                <w:sz w:val="24"/>
              </w:rPr>
            </w:pPr>
            <w:r>
              <w:rPr>
                <w:rFonts w:hint="eastAsia"/>
                <w:b/>
                <w:bCs/>
                <w:color w:val="000000" w:themeColor="text1"/>
                <w:sz w:val="24"/>
              </w:rPr>
              <w:t>类风湿因子</w:t>
            </w:r>
          </w:p>
        </w:tc>
        <w:tc>
          <w:tcPr>
            <w:tcW w:w="1754" w:type="dxa"/>
            <w:gridSpan w:val="2"/>
            <w:vAlign w:val="center"/>
          </w:tcPr>
          <w:p>
            <w:r>
              <w:t>{{RF_result}}</w:t>
            </w:r>
          </w:p>
        </w:tc>
        <w:tc>
          <w:tcPr>
            <w:tcW w:w="825" w:type="dxa"/>
            <w:gridSpan w:val="2"/>
            <w:vAlign w:val="center"/>
          </w:tcPr>
          <w:p>
            <w:r>
              <w:t>{{RF_point}}</w:t>
            </w:r>
          </w:p>
        </w:tc>
        <w:tc>
          <w:tcPr>
            <w:tcW w:w="1980" w:type="dxa"/>
            <w:gridSpan w:val="2"/>
            <w:vAlign w:val="center"/>
          </w:tcPr>
          <w:p>
            <w:r>
              <w:t>{{RF_refer}}</w:t>
            </w:r>
          </w:p>
        </w:tc>
        <w:tc>
          <w:tcPr>
            <w:tcW w:w="1408" w:type="dxa"/>
            <w:gridSpan w:val="2"/>
            <w:vAlign w:val="center"/>
          </w:tcPr>
          <w:p>
            <w:r>
              <w:t>{{RF_unit}}</w:t>
            </w:r>
          </w:p>
        </w:tc>
      </w:tr>
      <w:tr w:rsidR="009967D1" w14:paraId="1E1A5327" w14:textId="77777777">
        <w:trPr>
          <w:trHeight w:val="1651"/>
          <w:jc w:val="center"/>
        </w:trPr>
        <w:tc>
          <w:tcPr>
            <w:tcW w:w="9653" w:type="dxa"/>
            <w:gridSpan w:val="11"/>
            <w:vAlign w:val="center"/>
          </w:tcPr>
          <w:p w14:paraId="28D07988" w14:textId="77777777" w:rsidR="009967D1" w:rsidRDefault="0080134E">
            <w:r>
              <w:rPr>
                <w:b/>
                <w:bCs/>
              </w:rPr>
              <w:t>Clinical Significance:</w:t>
            </w:r>
            <w:r>
              <w:t>Helps in diagnosing rheumatoid arthritis; used to assess disease activity and prognosis.</w:t>
            </w:r>
          </w:p>
          <w:p w14:paraId="60D31D5D" w14:textId="77777777" w:rsidR="009967D1" w:rsidRDefault="0080134E">
            <w:r>
              <w:rPr>
                <w:b/>
                <w:bCs/>
              </w:rPr>
              <w:t>临床意义：</w:t>
            </w:r>
            <w:r>
              <w:t>辅助诊断类风湿关节炎，评估疾病活动度、预后</w:t>
            </w:r>
            <w:r>
              <w:rPr>
                <w:rFonts w:hint="eastAsia"/>
              </w:rPr>
              <w:t>。</w:t>
            </w:r>
          </w:p>
        </w:tc>
      </w:tr>
    </w:tbl>
    <w:p w14:paraId="72F4B4E4"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1242ABD5" w14:textId="2206EDEA" w:rsidR="009967D1" w:rsidRDefault="008527F8" w:rsidP="00A642C1">
      <w:pPr>
        <w:pStyle w:val="3-"/>
      </w:pPr>
      <w:r>
        <w:lastRenderedPageBreak/>
        <w:t>Female Hormone</w:t>
      </w:r>
      <w:r>
        <w:br/>
      </w:r>
      <w:r w:rsidR="0080134E">
        <w:rPr>
          <w:rFonts w:hint="eastAsia"/>
        </w:rPr>
        <w:t>女性荷尔蒙</w:t>
      </w:r>
    </w:p>
    <w:p w14:paraId="35809EF4" w14:textId="77777777" w:rsidR="000F7B14" w:rsidRDefault="000F7B14" w:rsidP="000F7B14">
      <w:pPr>
        <w:pStyle w:val="0"/>
      </w:pPr>
    </w:p>
    <w:p w14:paraId="2B1D4899" w14:textId="3B1BF79F" w:rsidR="000F7B14" w:rsidRDefault="000F7B14" w:rsidP="000F7B14">
      <w:pPr>
        <w:pStyle w:val="00"/>
      </w:pPr>
      <w:r w:rsidRPr="000F7B14">
        <w:t>Female hormone testing is a key laboratory evaluation for assessing reproductive health, endocrine balance, and overall metabolic function in women. The main indicators include estradiol (E2), progesterone (PROG), follicle-stimulating hormone (FSH), luteinizing hormone (LH), prolactin (PRL), testosterone (T), dehydroepiandrosterone sulfate (DHEAS), cortisol (COR), insulin-like growth factor-1 (IGF-1), and anti-Müllerian hormone (AMH). These hormones play central roles in regulating the menstrual cycle, ovarian function, pregnancy, breast health, bone metabolism, and even psychological well-being.</w:t>
      </w:r>
    </w:p>
    <w:p w14:paraId="78967F25" w14:textId="0314D52D" w:rsidR="000F7B14" w:rsidRDefault="000F7B14" w:rsidP="000F7B14">
      <w:pPr>
        <w:pStyle w:val="0"/>
      </w:pPr>
      <w:r>
        <w:t>女性荷尔蒙检测是评估女性生殖健康、内分泌平衡和整体代谢功能的重要检查，主要包括雌二醇（</w:t>
      </w:r>
      <w:r>
        <w:t>E2</w:t>
      </w:r>
      <w:r>
        <w:t>）、孕酮（</w:t>
      </w:r>
      <w:r>
        <w:t>PROG</w:t>
      </w:r>
      <w:r>
        <w:t>）、促卵泡激素（</w:t>
      </w:r>
      <w:r>
        <w:t>FSH</w:t>
      </w:r>
      <w:r>
        <w:t>）、促黄体生成素（</w:t>
      </w:r>
      <w:r>
        <w:t>LH</w:t>
      </w:r>
      <w:r>
        <w:t>）、催乳素（</w:t>
      </w:r>
      <w:r>
        <w:t>PRL</w:t>
      </w:r>
      <w:r>
        <w:t>）、睾酮（</w:t>
      </w:r>
      <w:r>
        <w:t>T</w:t>
      </w:r>
      <w:r>
        <w:t>）、脱氢表雄酮硫酸酯（</w:t>
      </w:r>
      <w:r>
        <w:t>DHEAS</w:t>
      </w:r>
      <w:r>
        <w:t>）、皮质醇（</w:t>
      </w:r>
      <w:r>
        <w:t>COR</w:t>
      </w:r>
      <w:r>
        <w:t>）、胰岛素样生长因子</w:t>
      </w:r>
      <w:r>
        <w:t>1</w:t>
      </w:r>
      <w:r>
        <w:t>（</w:t>
      </w:r>
      <w:r>
        <w:t>IGF-1</w:t>
      </w:r>
      <w:r>
        <w:t>）、抗缪勒氏管激素（</w:t>
      </w:r>
      <w:r>
        <w:t>AMH</w:t>
      </w:r>
      <w:r>
        <w:t>）等指标。这些激素在调控月经周期、卵巢功能、妊娠、乳腺健康、骨骼代谢及心理状态方面发挥着核心作用。</w:t>
      </w:r>
    </w:p>
    <w:p w14:paraId="4098AC79" w14:textId="0A5C10F3" w:rsidR="000F7B14" w:rsidRDefault="000F7B14" w:rsidP="000F7B14">
      <w:pPr>
        <w:pStyle w:val="00"/>
      </w:pPr>
      <w:r w:rsidRPr="000F7B14">
        <w:t>Estradiol and progesterone are the core hormones maintaining menstrual cycles and fertility, directly reflecting ovarian function. FSH and LH regulate follicular development and ovulation and are key markers for evaluating fertility and menopausal status. PRL is primarily associated with breast function, with elevated levels often linked to menstrual disorders and infertility. Testosterone and DHEAS, although androgens, also influence ovarian function, skin condition, and metabolic balance in women. Cortisol (COR) is a stress hormone involved in energy metabolism and emotional regulation. IGF-1 is associated with growth, repair, and anti-aging, while AMH serves as a sensitive marker of ovarian reserve and fertility potential.</w:t>
      </w:r>
    </w:p>
    <w:p w14:paraId="3C1D655D" w14:textId="4EBEF439" w:rsidR="000F7B14" w:rsidRDefault="000F7B14" w:rsidP="000F7B14">
      <w:pPr>
        <w:pStyle w:val="0"/>
      </w:pPr>
      <w:r>
        <w:t>雌二醇和孕酮是维持月经周期和生殖功能的核心激素，其水平变化直接反映卵巢功能状态。</w:t>
      </w:r>
      <w:r>
        <w:t>FSH</w:t>
      </w:r>
      <w:r>
        <w:t>与</w:t>
      </w:r>
      <w:r>
        <w:t>LH</w:t>
      </w:r>
      <w:r>
        <w:t>调节卵泡发育与排卵，是评估生育力和更年期状态的重要依据。</w:t>
      </w:r>
      <w:r>
        <w:t>PRL</w:t>
      </w:r>
      <w:r>
        <w:t>主要与乳腺功能相关，异常升高可能导致月经紊乱和不孕。睾酮与</w:t>
      </w:r>
      <w:r>
        <w:t>DHEAS</w:t>
      </w:r>
      <w:r>
        <w:t>虽属雄激素，但在女性体内也影响卵巢功能、皮肤状态和代谢平衡。皮质醇（</w:t>
      </w:r>
      <w:r>
        <w:t>COR</w:t>
      </w:r>
      <w:r>
        <w:t>）作为应激激素，参与能量代谢与情绪调节。</w:t>
      </w:r>
      <w:r>
        <w:t>IGF-1</w:t>
      </w:r>
      <w:r>
        <w:t>与生长、修复和抗衰老密切相关，而</w:t>
      </w:r>
      <w:r>
        <w:t>AMH</w:t>
      </w:r>
      <w:r>
        <w:t>是反映卵巢储备功能和评估生育力的敏感指标。</w:t>
      </w:r>
    </w:p>
    <w:p w14:paraId="4EC67E98" w14:textId="607FB318" w:rsidR="000F7B14" w:rsidRDefault="000F7B14" w:rsidP="000F7B14">
      <w:pPr>
        <w:pStyle w:val="00"/>
      </w:pPr>
      <w:r w:rsidRPr="000F7B14">
        <w:t>In preventive healthcare, female hormone testing provides multiple benefits: it helps assess reproductive health and fertility, identify risks related to menopause, menstrual irregularities, polycystic ovary syndrome, and breast or ovarian disorders, and supports the early detection and management of chronic fatigue, mood disturbances, osteoporosis, and metabolic syndrome.</w:t>
      </w:r>
    </w:p>
    <w:p w14:paraId="742B322A" w14:textId="0FE98FA0" w:rsidR="000F7B14" w:rsidRDefault="00E0487F" w:rsidP="000F7B14">
      <w:pPr>
        <w:pStyle w:val="0"/>
      </w:pPr>
      <w:r w:rsidRPr="009E1205">
        <w:rPr>
          <w:noProof/>
        </w:rPr>
        <w:drawing>
          <wp:anchor distT="0" distB="0" distL="114300" distR="114300" simplePos="0" relativeHeight="251701248" behindDoc="0" locked="0" layoutInCell="1" allowOverlap="1" wp14:anchorId="21B63ACE" wp14:editId="51F8F2CB">
            <wp:simplePos x="0" y="0"/>
            <wp:positionH relativeFrom="column">
              <wp:posOffset>1857</wp:posOffset>
            </wp:positionH>
            <wp:positionV relativeFrom="paragraph">
              <wp:posOffset>726962</wp:posOffset>
            </wp:positionV>
            <wp:extent cx="6080125" cy="1706245"/>
            <wp:effectExtent l="0" t="0" r="3175" b="0"/>
            <wp:wrapNone/>
            <wp:docPr id="12732007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200750" name="图片 1"/>
                    <pic:cNvPicPr/>
                  </pic:nvPicPr>
                  <pic:blipFill rotWithShape="1">
                    <a:blip r:embed="rId32">
                      <a:extLst>
                        <a:ext uri="{28A0092B-C50C-407E-A947-70E740481C1C}">
                          <a14:useLocalDpi xmlns:a14="http://schemas.microsoft.com/office/drawing/2010/main" val="0"/>
                        </a:ext>
                      </a:extLst>
                    </a:blip>
                    <a:srcRect t="27783" b="44155"/>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F7B14">
        <w:t>在健康管理中，女性荷尔蒙检测具有多重价值：它不仅能帮助评估生殖健康与生育力，还可发现更年期相关变化、月经紊乱、多囊卵巢综合征、乳腺及卵巢相关疾病等潜在风险。同时，该检测对长期疲劳、情绪波动、骨质疏松及代谢综合征的早期发现和干预也具有重要意义。</w:t>
      </w:r>
    </w:p>
    <w:p w14:paraId="36CEF957" w14:textId="6342ACBC" w:rsidR="000F7B14" w:rsidRDefault="000F7B14" w:rsidP="000F7B14">
      <w:pPr>
        <w:pStyle w:val="0"/>
      </w:pPr>
    </w:p>
    <w:p w14:paraId="64802DC5" w14:textId="77777777" w:rsidR="000F7B14" w:rsidRPr="000F7B14" w:rsidRDefault="000F7B14" w:rsidP="000F7B14">
      <w:pPr>
        <w:pStyle w:val="0"/>
      </w:pPr>
    </w:p>
    <w:p w14:paraId="4EDB0C32" w14:textId="77777777" w:rsidR="009967D1" w:rsidRDefault="0080134E">
      <w:pPr>
        <w:widowControl/>
        <w:jc w:val="left"/>
      </w:pPr>
      <w:r>
        <w:br w:type="page"/>
      </w:r>
    </w:p>
    <w:p w14:paraId="446FB9FF"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E0C4A6A" w14:textId="77777777">
        <w:trPr>
          <w:trHeight w:val="839"/>
          <w:jc w:val="center"/>
        </w:trPr>
        <w:tc>
          <w:tcPr>
            <w:tcW w:w="1150" w:type="dxa"/>
            <w:tcBorders>
              <w:top w:val="single" w:sz="4" w:space="0" w:color="auto"/>
              <w:bottom w:val="single" w:sz="4" w:space="0" w:color="auto"/>
            </w:tcBorders>
            <w:vAlign w:val="center"/>
          </w:tcPr>
          <w:p w14:paraId="0D3F51B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512DB5E9"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61A897D7"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1BD5F809"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7A993E7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63FD78B3"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514132F1" w14:textId="77777777">
        <w:trPr>
          <w:trHeight w:val="1111"/>
          <w:jc w:val="center"/>
        </w:trPr>
        <w:tc>
          <w:tcPr>
            <w:tcW w:w="9653" w:type="dxa"/>
            <w:gridSpan w:val="11"/>
            <w:tcBorders>
              <w:top w:val="single" w:sz="4" w:space="0" w:color="auto"/>
              <w:bottom w:val="single" w:sz="4" w:space="0" w:color="auto"/>
            </w:tcBorders>
            <w:vAlign w:val="center"/>
          </w:tcPr>
          <w:p w14:paraId="088F80C1"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Female Hormone</w:t>
            </w:r>
          </w:p>
          <w:p w14:paraId="044B2117"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女性荷尔蒙</w:t>
            </w:r>
          </w:p>
        </w:tc>
      </w:tr>
      <w:tr w:rsidR="009967D1" w14:paraId="32FE4EA0" w14:textId="77777777">
        <w:trPr>
          <w:trHeight w:hRule="exact" w:val="113"/>
          <w:jc w:val="center"/>
        </w:trPr>
        <w:tc>
          <w:tcPr>
            <w:tcW w:w="1560" w:type="dxa"/>
            <w:gridSpan w:val="2"/>
            <w:tcBorders>
              <w:top w:val="single" w:sz="4" w:space="0" w:color="auto"/>
            </w:tcBorders>
            <w:vAlign w:val="center"/>
          </w:tcPr>
          <w:p w14:paraId="4D4C1B3F"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BBE159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64FAD5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9BA5200"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BE8B0F3"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8D94A26" w14:textId="77777777" w:rsidR="009967D1" w:rsidRDefault="009967D1">
            <w:pPr>
              <w:spacing w:line="300" w:lineRule="exact"/>
              <w:jc w:val="right"/>
              <w:rPr>
                <w:color w:val="323E4F" w:themeColor="text2" w:themeShade="BF"/>
                <w:sz w:val="2"/>
                <w:szCs w:val="2"/>
              </w:rPr>
            </w:pPr>
          </w:p>
        </w:tc>
      </w:tr>
      <w:tr w:rsidR="009967D1" w14:paraId="68CB70C6" w14:textId="77777777">
        <w:trPr>
          <w:trHeight w:val="432"/>
          <w:jc w:val="center"/>
        </w:trPr>
        <w:tc>
          <w:tcPr>
            <w:tcW w:w="1150" w:type="dxa"/>
            <w:vAlign w:val="center"/>
          </w:tcPr>
          <w:p w14:paraId="611B1A27" w14:textId="77777777" w:rsidR="009967D1" w:rsidRDefault="0080134E">
            <w:pPr>
              <w:spacing w:line="400" w:lineRule="exact"/>
              <w:jc w:val="center"/>
              <w:rPr>
                <w:b/>
                <w:bCs/>
                <w:color w:val="000000" w:themeColor="text1"/>
                <w:sz w:val="24"/>
              </w:rPr>
            </w:pPr>
            <w:r>
              <w:rPr>
                <w:rFonts w:hint="eastAsia"/>
                <w:b/>
                <w:bCs/>
                <w:color w:val="000000" w:themeColor="text1"/>
                <w:sz w:val="24"/>
              </w:rPr>
              <w:t>E2</w:t>
            </w:r>
          </w:p>
        </w:tc>
        <w:tc>
          <w:tcPr>
            <w:tcW w:w="2536" w:type="dxa"/>
            <w:gridSpan w:val="2"/>
            <w:vAlign w:val="center"/>
          </w:tcPr>
          <w:p w14:paraId="67C735B0" w14:textId="77777777" w:rsidR="009967D1" w:rsidRDefault="0080134E">
            <w:pPr>
              <w:spacing w:line="400" w:lineRule="exact"/>
              <w:jc w:val="center"/>
              <w:rPr>
                <w:b/>
                <w:bCs/>
                <w:color w:val="000000" w:themeColor="text1"/>
                <w:sz w:val="24"/>
              </w:rPr>
            </w:pPr>
            <w:r>
              <w:rPr>
                <w:rFonts w:hint="eastAsia"/>
                <w:b/>
                <w:bCs/>
                <w:color w:val="000000" w:themeColor="text1"/>
                <w:sz w:val="24"/>
              </w:rPr>
              <w:t>雌二醇</w:t>
            </w:r>
          </w:p>
        </w:tc>
        <w:tc>
          <w:tcPr>
            <w:tcW w:w="1754" w:type="dxa"/>
            <w:gridSpan w:val="2"/>
            <w:vAlign w:val="center"/>
          </w:tcPr>
          <w:p>
            <w:r>
              <w:t>{{E2_result}}</w:t>
            </w:r>
          </w:p>
        </w:tc>
        <w:tc>
          <w:tcPr>
            <w:tcW w:w="825" w:type="dxa"/>
            <w:gridSpan w:val="2"/>
            <w:vAlign w:val="center"/>
          </w:tcPr>
          <w:p>
            <w:r>
              <w:t>{{E2_point}}</w:t>
            </w:r>
          </w:p>
        </w:tc>
        <w:tc>
          <w:tcPr>
            <w:tcW w:w="1980" w:type="dxa"/>
            <w:gridSpan w:val="2"/>
            <w:vAlign w:val="center"/>
          </w:tcPr>
          <w:p>
            <w:r>
              <w:t>{{E2_refer}}</w:t>
            </w:r>
          </w:p>
        </w:tc>
        <w:tc>
          <w:tcPr>
            <w:tcW w:w="1408" w:type="dxa"/>
            <w:gridSpan w:val="2"/>
            <w:vAlign w:val="center"/>
          </w:tcPr>
          <w:p>
            <w:r>
              <w:t>{{E2_unit}}</w:t>
            </w:r>
          </w:p>
        </w:tc>
      </w:tr>
      <w:tr w:rsidR="009967D1" w14:paraId="25F299DA" w14:textId="77777777">
        <w:trPr>
          <w:trHeight w:val="1651"/>
          <w:jc w:val="center"/>
        </w:trPr>
        <w:tc>
          <w:tcPr>
            <w:tcW w:w="9653" w:type="dxa"/>
            <w:gridSpan w:val="11"/>
            <w:vAlign w:val="center"/>
          </w:tcPr>
          <w:p w14:paraId="5FB250E4" w14:textId="77777777" w:rsidR="009967D1" w:rsidRDefault="009967D1"/>
          <w:p w14:paraId="56D6296C" w14:textId="77777777" w:rsidR="009967D1" w:rsidRDefault="0080134E">
            <w:r>
              <w:rPr>
                <w:b/>
                <w:bCs/>
              </w:rPr>
              <w:t>Clinical significance:</w:t>
            </w:r>
            <w:r>
              <w:t xml:space="preserve"> Reflects ovarian function and evaluates female reproductive endocrine status (e.g., menstrual cycle, menopause); assists in diagnosing polycystic ovary syndrome (PCOS) and premature ovarian failure. Normal reference values: Follicular phase 92–275 pmol/L; Ovulatory phase 734–2200 pmol/L; Luteal phase 367–1100 pmol/L; Postmenopause &lt;100 pmol/L (method-dependent).</w:t>
            </w:r>
          </w:p>
          <w:p w14:paraId="70FFF1F8" w14:textId="77777777" w:rsidR="009967D1" w:rsidRDefault="0080134E">
            <w:r>
              <w:rPr>
                <w:b/>
                <w:bCs/>
              </w:rPr>
              <w:t>临床意义：</w:t>
            </w:r>
            <w:r>
              <w:t>反映卵巢功能，评估女性生殖内分泌状态（如月经周期、绝经判断），辅助诊断多囊卵巢综合征、卵巢早衰等。正常参考值：卵泡期92-275pmol/L，排卵期734-2200pmol/L，黄体期367-1100pmol/L，绝经期＜100pmol/L（不同检测方法有差异）。</w:t>
            </w:r>
          </w:p>
        </w:tc>
      </w:tr>
    </w:tbl>
    <w:p w14:paraId="6705031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D2764C0" w14:textId="77777777">
        <w:trPr>
          <w:trHeight w:hRule="exact" w:val="113"/>
          <w:jc w:val="center"/>
        </w:trPr>
        <w:tc>
          <w:tcPr>
            <w:tcW w:w="1560" w:type="dxa"/>
            <w:gridSpan w:val="2"/>
            <w:tcBorders>
              <w:top w:val="single" w:sz="4" w:space="0" w:color="auto"/>
            </w:tcBorders>
            <w:vAlign w:val="center"/>
          </w:tcPr>
          <w:p w14:paraId="46550484"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69B1066"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5D0E7B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A56C021"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D15B1F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45933DC" w14:textId="77777777" w:rsidR="009967D1" w:rsidRDefault="009967D1">
            <w:pPr>
              <w:spacing w:line="300" w:lineRule="exact"/>
              <w:jc w:val="right"/>
              <w:rPr>
                <w:color w:val="323E4F" w:themeColor="text2" w:themeShade="BF"/>
                <w:sz w:val="2"/>
                <w:szCs w:val="2"/>
              </w:rPr>
            </w:pPr>
          </w:p>
        </w:tc>
      </w:tr>
      <w:tr w:rsidR="009967D1" w14:paraId="63EF7640" w14:textId="77777777">
        <w:trPr>
          <w:trHeight w:val="432"/>
          <w:jc w:val="center"/>
        </w:trPr>
        <w:tc>
          <w:tcPr>
            <w:tcW w:w="1150" w:type="dxa"/>
            <w:vAlign w:val="center"/>
          </w:tcPr>
          <w:p w14:paraId="0B50EDE6" w14:textId="77777777" w:rsidR="009967D1" w:rsidRDefault="0080134E">
            <w:pPr>
              <w:spacing w:line="400" w:lineRule="exact"/>
              <w:jc w:val="center"/>
              <w:rPr>
                <w:b/>
                <w:bCs/>
                <w:color w:val="000000" w:themeColor="text1"/>
                <w:sz w:val="24"/>
              </w:rPr>
            </w:pPr>
            <w:r>
              <w:rPr>
                <w:rFonts w:hint="eastAsia"/>
                <w:b/>
                <w:bCs/>
                <w:color w:val="000000" w:themeColor="text1"/>
                <w:sz w:val="24"/>
              </w:rPr>
              <w:t>PROG</w:t>
            </w:r>
          </w:p>
        </w:tc>
        <w:tc>
          <w:tcPr>
            <w:tcW w:w="2536" w:type="dxa"/>
            <w:gridSpan w:val="2"/>
            <w:vAlign w:val="center"/>
          </w:tcPr>
          <w:p w14:paraId="3AC3435B" w14:textId="77777777" w:rsidR="009967D1" w:rsidRDefault="0080134E">
            <w:pPr>
              <w:spacing w:line="400" w:lineRule="exact"/>
              <w:jc w:val="center"/>
              <w:rPr>
                <w:b/>
                <w:bCs/>
                <w:color w:val="000000" w:themeColor="text1"/>
                <w:sz w:val="24"/>
              </w:rPr>
            </w:pPr>
            <w:r>
              <w:rPr>
                <w:rFonts w:hint="eastAsia"/>
                <w:b/>
                <w:bCs/>
                <w:color w:val="000000" w:themeColor="text1"/>
                <w:sz w:val="24"/>
              </w:rPr>
              <w:t>孕酮</w:t>
            </w:r>
          </w:p>
        </w:tc>
        <w:tc>
          <w:tcPr>
            <w:tcW w:w="1754" w:type="dxa"/>
            <w:gridSpan w:val="2"/>
            <w:vAlign w:val="center"/>
          </w:tcPr>
          <w:p>
            <w:r>
              <w:t>{{PROG_result}}</w:t>
            </w:r>
          </w:p>
        </w:tc>
        <w:tc>
          <w:tcPr>
            <w:tcW w:w="825" w:type="dxa"/>
            <w:gridSpan w:val="2"/>
            <w:vAlign w:val="center"/>
          </w:tcPr>
          <w:p>
            <w:r>
              <w:t>{{PROG_point}}</w:t>
            </w:r>
          </w:p>
        </w:tc>
        <w:tc>
          <w:tcPr>
            <w:tcW w:w="1980" w:type="dxa"/>
            <w:gridSpan w:val="2"/>
            <w:vAlign w:val="center"/>
          </w:tcPr>
          <w:p>
            <w:r>
              <w:t>{{PROG_refer}}</w:t>
            </w:r>
          </w:p>
        </w:tc>
        <w:tc>
          <w:tcPr>
            <w:tcW w:w="1408" w:type="dxa"/>
            <w:gridSpan w:val="2"/>
            <w:vAlign w:val="center"/>
          </w:tcPr>
          <w:p>
            <w:r>
              <w:t>{{PROG_unit}}</w:t>
            </w:r>
          </w:p>
        </w:tc>
      </w:tr>
      <w:tr w:rsidR="009967D1" w14:paraId="477BFC2D" w14:textId="77777777">
        <w:trPr>
          <w:trHeight w:val="1651"/>
          <w:jc w:val="center"/>
        </w:trPr>
        <w:tc>
          <w:tcPr>
            <w:tcW w:w="9653" w:type="dxa"/>
            <w:gridSpan w:val="11"/>
            <w:vAlign w:val="center"/>
          </w:tcPr>
          <w:p w14:paraId="74986BA2" w14:textId="77777777" w:rsidR="009967D1" w:rsidRDefault="009967D1"/>
          <w:p w14:paraId="57F38229" w14:textId="77777777" w:rsidR="00CC738B" w:rsidRDefault="00CC738B" w:rsidP="00CC738B">
            <w:r>
              <w:rPr>
                <w:b/>
                <w:bCs/>
              </w:rPr>
              <w:t>Clinical significance:</w:t>
            </w:r>
            <w:r>
              <w:t xml:space="preserve"> </w:t>
            </w:r>
            <w:r w:rsidRPr="005C36AF">
              <w:t>Progesterone is the key hormone to maintain normal pregnancy and regulate menstrual cycle</w:t>
            </w:r>
            <w:r>
              <w:t>, r</w:t>
            </w:r>
            <w:r w:rsidRPr="005C36AF">
              <w:t>eflects corpus luteum function; used for early pregnancy diagnosis, ectopic pregnancy assessment, ovulation monitoring, and diagnosis of luteal insufficiency. Normal reference values: Follicular phase &lt;3.2 nmol/L; Luteal phase 9.5–89 nmol/L; Early pregnancy 63.6–95.4 nmol/L; Mid-pregnancy 159–318 nmol/L; Late pregnancy 318–1272 nmol/L (varies by gestational stage).</w:t>
            </w:r>
          </w:p>
          <w:p w14:paraId="67C33959" w14:textId="42E0CF6E" w:rsidR="009967D1" w:rsidRDefault="00CC738B" w:rsidP="00CC738B">
            <w:r>
              <w:rPr>
                <w:b/>
                <w:bCs/>
              </w:rPr>
              <w:t>临床意义：</w:t>
            </w:r>
            <w:r>
              <w:rPr>
                <w:rFonts w:hint="eastAsia"/>
              </w:rPr>
              <w:t>孕</w:t>
            </w:r>
            <w:r>
              <w:t>酮</w:t>
            </w:r>
            <w:r>
              <w:rPr>
                <w:rFonts w:hint="eastAsia"/>
              </w:rPr>
              <w:t>是维持</w:t>
            </w:r>
            <w:r w:rsidR="0091401A">
              <w:rPr>
                <w:rFonts w:hint="eastAsia"/>
              </w:rPr>
              <w:t>女性</w:t>
            </w:r>
            <w:r>
              <w:rPr>
                <w:rFonts w:hint="eastAsia"/>
              </w:rPr>
              <w:t>正常妊娠和调节月经周期的关键激素，</w:t>
            </w:r>
            <w:r w:rsidRPr="005C36AF">
              <w:t>反映黄体功能，诊断早孕、评估宫外孕、监测排卵、辅助诊断黄体功能不全。正常参考值：卵泡期＜3.2 nmol/L，黄体期 9.5-89 nmol/L，孕早期 63.6-95.4 nmol/L，孕中期 159-318 nmol/L，孕晚期 318-1272 nmol/L（不同孕期有差异）</w:t>
            </w:r>
            <w:r w:rsidR="0080134E">
              <w:rPr>
                <w:rFonts w:hint="eastAsia"/>
              </w:rPr>
              <w:t>。</w:t>
            </w:r>
          </w:p>
        </w:tc>
      </w:tr>
    </w:tbl>
    <w:p w14:paraId="7A8612F3" w14:textId="77777777" w:rsidR="009967D1" w:rsidRDefault="009967D1" w:rsidP="004619DA">
      <w:pPr>
        <w:pStyle w:val="0"/>
      </w:pPr>
    </w:p>
    <w:p w14:paraId="0491F4DC"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C29911D" w14:textId="77777777">
        <w:trPr>
          <w:trHeight w:hRule="exact" w:val="113"/>
          <w:jc w:val="center"/>
        </w:trPr>
        <w:tc>
          <w:tcPr>
            <w:tcW w:w="1560" w:type="dxa"/>
            <w:gridSpan w:val="2"/>
            <w:tcBorders>
              <w:top w:val="single" w:sz="4" w:space="0" w:color="auto"/>
            </w:tcBorders>
            <w:vAlign w:val="center"/>
          </w:tcPr>
          <w:p w14:paraId="6E6B43B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41161E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9E5AB04"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ADE98F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89EED6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4069908" w14:textId="77777777" w:rsidR="009967D1" w:rsidRDefault="009967D1">
            <w:pPr>
              <w:spacing w:line="300" w:lineRule="exact"/>
              <w:jc w:val="right"/>
              <w:rPr>
                <w:color w:val="323E4F" w:themeColor="text2" w:themeShade="BF"/>
                <w:sz w:val="2"/>
                <w:szCs w:val="2"/>
              </w:rPr>
            </w:pPr>
          </w:p>
        </w:tc>
      </w:tr>
      <w:tr w:rsidR="009967D1" w14:paraId="312C6E39" w14:textId="77777777">
        <w:trPr>
          <w:trHeight w:val="432"/>
          <w:jc w:val="center"/>
        </w:trPr>
        <w:tc>
          <w:tcPr>
            <w:tcW w:w="1150" w:type="dxa"/>
            <w:vAlign w:val="center"/>
          </w:tcPr>
          <w:p w14:paraId="51B0CAC5" w14:textId="77777777" w:rsidR="009967D1" w:rsidRDefault="0080134E">
            <w:pPr>
              <w:spacing w:line="400" w:lineRule="exact"/>
              <w:jc w:val="center"/>
              <w:rPr>
                <w:b/>
                <w:bCs/>
                <w:color w:val="000000" w:themeColor="text1"/>
                <w:sz w:val="24"/>
              </w:rPr>
            </w:pPr>
            <w:r>
              <w:rPr>
                <w:rFonts w:hint="eastAsia"/>
                <w:b/>
                <w:bCs/>
                <w:color w:val="000000" w:themeColor="text1"/>
                <w:sz w:val="24"/>
              </w:rPr>
              <w:t>FSH</w:t>
            </w:r>
          </w:p>
        </w:tc>
        <w:tc>
          <w:tcPr>
            <w:tcW w:w="2536" w:type="dxa"/>
            <w:gridSpan w:val="2"/>
            <w:vAlign w:val="center"/>
          </w:tcPr>
          <w:p w14:paraId="065FBB1E" w14:textId="77777777" w:rsidR="009967D1" w:rsidRDefault="0080134E">
            <w:pPr>
              <w:spacing w:line="400" w:lineRule="exact"/>
              <w:jc w:val="center"/>
              <w:rPr>
                <w:b/>
                <w:bCs/>
                <w:color w:val="000000" w:themeColor="text1"/>
                <w:sz w:val="24"/>
              </w:rPr>
            </w:pPr>
            <w:r>
              <w:rPr>
                <w:rFonts w:hint="eastAsia"/>
                <w:b/>
                <w:bCs/>
                <w:color w:val="000000" w:themeColor="text1"/>
                <w:sz w:val="24"/>
              </w:rPr>
              <w:t>促卵泡激素</w:t>
            </w:r>
          </w:p>
        </w:tc>
        <w:tc>
          <w:tcPr>
            <w:tcW w:w="1754" w:type="dxa"/>
            <w:gridSpan w:val="2"/>
            <w:vAlign w:val="center"/>
          </w:tcPr>
          <w:p>
            <w:r>
              <w:t>{{FSH_result}}</w:t>
            </w:r>
          </w:p>
        </w:tc>
        <w:tc>
          <w:tcPr>
            <w:tcW w:w="825" w:type="dxa"/>
            <w:gridSpan w:val="2"/>
            <w:vAlign w:val="center"/>
          </w:tcPr>
          <w:p>
            <w:r>
              <w:t>{{FSH_point}}</w:t>
            </w:r>
          </w:p>
        </w:tc>
        <w:tc>
          <w:tcPr>
            <w:tcW w:w="1980" w:type="dxa"/>
            <w:gridSpan w:val="2"/>
            <w:vAlign w:val="center"/>
          </w:tcPr>
          <w:p>
            <w:r>
              <w:t>{{FSH_refer}}</w:t>
            </w:r>
          </w:p>
        </w:tc>
        <w:tc>
          <w:tcPr>
            <w:tcW w:w="1408" w:type="dxa"/>
            <w:gridSpan w:val="2"/>
            <w:vAlign w:val="center"/>
          </w:tcPr>
          <w:p>
            <w:r>
              <w:t>{{FSH_unit}}</w:t>
            </w:r>
          </w:p>
        </w:tc>
      </w:tr>
      <w:tr w:rsidR="009967D1" w14:paraId="6DAF43E4" w14:textId="77777777">
        <w:trPr>
          <w:trHeight w:val="1651"/>
          <w:jc w:val="center"/>
        </w:trPr>
        <w:tc>
          <w:tcPr>
            <w:tcW w:w="9653" w:type="dxa"/>
            <w:gridSpan w:val="11"/>
            <w:vAlign w:val="center"/>
          </w:tcPr>
          <w:p w14:paraId="108D3E4D" w14:textId="77777777" w:rsidR="009967D1" w:rsidRDefault="009967D1"/>
          <w:p w14:paraId="159BCF4A" w14:textId="77777777" w:rsidR="009967D1" w:rsidRDefault="0080134E">
            <w:r>
              <w:rPr>
                <w:b/>
                <w:bCs/>
              </w:rPr>
              <w:t>Clinical significance:</w:t>
            </w:r>
            <w:r>
              <w:t xml:space="preserve"> Assesses ovarian reserve; diagnoses PCOS, premature ovarian failure, pituitary disorders; reflects hypothalamic-pituitary-ovarian (HPO) axis function. Normal reference values: Follicular phase 3.85–8.78 mIU/ml; Ovulatory phase 4.54–22.51 mIU/ml; Luteal phase 1.79–5.12 mIU/ml; Postmenopause 16.74–113.5 mIU/ml.</w:t>
            </w:r>
          </w:p>
          <w:p w14:paraId="156C1005" w14:textId="77777777" w:rsidR="009967D1" w:rsidRDefault="0080134E">
            <w:r>
              <w:rPr>
                <w:b/>
                <w:bCs/>
              </w:rPr>
              <w:t>临床意义：</w:t>
            </w:r>
            <w:r>
              <w:t>评估卵巢储备功能，诊断多囊卵巢综合征、卵巢早衰、垂体疾病等，反映下丘脑-垂体-卵巢轴（HPO轴）功能。正常参考值：卵泡期3.85-8.78mIU/ml，排卵期4.54-22.51mIU/ml，黄体期1.79-5.12mIU/ml，绝经期16.74-113.5mIU/ml。</w:t>
            </w:r>
          </w:p>
        </w:tc>
      </w:tr>
    </w:tbl>
    <w:p w14:paraId="77CC64E1" w14:textId="77777777" w:rsidR="009967D1" w:rsidRDefault="009967D1" w:rsidP="004619DA">
      <w:pPr>
        <w:pStyle w:val="0"/>
      </w:pPr>
    </w:p>
    <w:p w14:paraId="774710E2"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86646BC" w14:textId="77777777">
        <w:trPr>
          <w:trHeight w:hRule="exact" w:val="113"/>
          <w:jc w:val="center"/>
        </w:trPr>
        <w:tc>
          <w:tcPr>
            <w:tcW w:w="1560" w:type="dxa"/>
            <w:gridSpan w:val="2"/>
            <w:tcBorders>
              <w:top w:val="single" w:sz="4" w:space="0" w:color="auto"/>
            </w:tcBorders>
            <w:vAlign w:val="center"/>
          </w:tcPr>
          <w:p w14:paraId="7C5FA5C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C6706D3"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77DB68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CD025D8"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848B046"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79F6158" w14:textId="77777777" w:rsidR="009967D1" w:rsidRDefault="009967D1">
            <w:pPr>
              <w:spacing w:line="300" w:lineRule="exact"/>
              <w:jc w:val="right"/>
              <w:rPr>
                <w:color w:val="323E4F" w:themeColor="text2" w:themeShade="BF"/>
                <w:sz w:val="2"/>
                <w:szCs w:val="2"/>
              </w:rPr>
            </w:pPr>
          </w:p>
        </w:tc>
      </w:tr>
      <w:tr w:rsidR="009967D1" w14:paraId="1D9E3077" w14:textId="77777777">
        <w:trPr>
          <w:trHeight w:val="432"/>
          <w:jc w:val="center"/>
        </w:trPr>
        <w:tc>
          <w:tcPr>
            <w:tcW w:w="1150" w:type="dxa"/>
            <w:vAlign w:val="center"/>
          </w:tcPr>
          <w:p w14:paraId="16B46501" w14:textId="77777777" w:rsidR="009967D1" w:rsidRDefault="0080134E">
            <w:pPr>
              <w:spacing w:line="400" w:lineRule="exact"/>
              <w:jc w:val="center"/>
              <w:rPr>
                <w:b/>
                <w:bCs/>
                <w:color w:val="000000" w:themeColor="text1"/>
                <w:sz w:val="24"/>
              </w:rPr>
            </w:pPr>
            <w:r>
              <w:rPr>
                <w:rFonts w:hint="eastAsia"/>
                <w:b/>
                <w:bCs/>
                <w:color w:val="000000" w:themeColor="text1"/>
                <w:sz w:val="24"/>
              </w:rPr>
              <w:t>LH</w:t>
            </w:r>
          </w:p>
        </w:tc>
        <w:tc>
          <w:tcPr>
            <w:tcW w:w="2536" w:type="dxa"/>
            <w:gridSpan w:val="2"/>
            <w:vAlign w:val="center"/>
          </w:tcPr>
          <w:p w14:paraId="21938E83" w14:textId="77777777" w:rsidR="009967D1" w:rsidRDefault="0080134E">
            <w:pPr>
              <w:spacing w:line="400" w:lineRule="exact"/>
              <w:jc w:val="center"/>
              <w:rPr>
                <w:b/>
                <w:bCs/>
                <w:color w:val="000000" w:themeColor="text1"/>
                <w:sz w:val="24"/>
              </w:rPr>
            </w:pPr>
            <w:r>
              <w:rPr>
                <w:rFonts w:hint="eastAsia"/>
                <w:b/>
                <w:bCs/>
                <w:color w:val="000000" w:themeColor="text1"/>
                <w:sz w:val="24"/>
              </w:rPr>
              <w:t>促黄体生成素</w:t>
            </w:r>
          </w:p>
        </w:tc>
        <w:tc>
          <w:tcPr>
            <w:tcW w:w="1754" w:type="dxa"/>
            <w:gridSpan w:val="2"/>
            <w:vAlign w:val="center"/>
          </w:tcPr>
          <w:p>
            <w:r>
              <w:t>{{LH_result}}</w:t>
            </w:r>
          </w:p>
        </w:tc>
        <w:tc>
          <w:tcPr>
            <w:tcW w:w="825" w:type="dxa"/>
            <w:gridSpan w:val="2"/>
            <w:vAlign w:val="center"/>
          </w:tcPr>
          <w:p>
            <w:r>
              <w:t>{{LH_point}}</w:t>
            </w:r>
          </w:p>
        </w:tc>
        <w:tc>
          <w:tcPr>
            <w:tcW w:w="1980" w:type="dxa"/>
            <w:gridSpan w:val="2"/>
            <w:vAlign w:val="center"/>
          </w:tcPr>
          <w:p>
            <w:r>
              <w:t>{{LH_refer}}</w:t>
            </w:r>
          </w:p>
        </w:tc>
        <w:tc>
          <w:tcPr>
            <w:tcW w:w="1408" w:type="dxa"/>
            <w:gridSpan w:val="2"/>
            <w:vAlign w:val="center"/>
          </w:tcPr>
          <w:p>
            <w:r>
              <w:t>{{LH_unit}}</w:t>
            </w:r>
          </w:p>
        </w:tc>
      </w:tr>
      <w:tr w:rsidR="009967D1" w14:paraId="0227EAF5" w14:textId="77777777">
        <w:trPr>
          <w:trHeight w:val="1651"/>
          <w:jc w:val="center"/>
        </w:trPr>
        <w:tc>
          <w:tcPr>
            <w:tcW w:w="9653" w:type="dxa"/>
            <w:gridSpan w:val="11"/>
            <w:vAlign w:val="center"/>
          </w:tcPr>
          <w:p w14:paraId="58B60ECF" w14:textId="77777777" w:rsidR="009967D1" w:rsidRDefault="009967D1"/>
          <w:p w14:paraId="5B630346" w14:textId="77777777" w:rsidR="009967D1" w:rsidRDefault="0080134E">
            <w:r>
              <w:rPr>
                <w:b/>
                <w:bCs/>
              </w:rPr>
              <w:t>Clinical significance:</w:t>
            </w:r>
            <w:r>
              <w:t xml:space="preserve"> Works with FSH to regulate ovarian function; triggers ovulation and promotes corpus luteum formation; aids in diagnosing PCOS, premature ovarian failure, pituitary disorders. Normal reference values: Follicular phase 2.12–10.89 mIU/ml; Ovulatory phase 19.18–103.03 mIU/ml; Luteal phase 1.20–12.86 mIU/ml; Postmenopause 10.87–58.64 mIU/ml.</w:t>
            </w:r>
          </w:p>
          <w:p w14:paraId="008179BD" w14:textId="77777777" w:rsidR="009967D1" w:rsidRDefault="0080134E">
            <w:r>
              <w:rPr>
                <w:b/>
                <w:bCs/>
              </w:rPr>
              <w:t>临床意义：</w:t>
            </w:r>
            <w:r>
              <w:t>协同FSH调节卵巢功能，触发排卵、促进黄体形成，诊断多囊卵巢综合征、卵巢早衰、垂体疾病。正常参考值：卵泡期2.12-10.89mIU/ml，排卵期19.18-103.03mIU/ml，黄体期1.20-12.86mIU/ml，绝经期10.87-58.64mIU/ml。</w:t>
            </w:r>
          </w:p>
        </w:tc>
      </w:tr>
    </w:tbl>
    <w:p w14:paraId="506D5B52" w14:textId="77777777" w:rsidR="009967D1" w:rsidRDefault="009967D1" w:rsidP="004619DA">
      <w:pPr>
        <w:pStyle w:val="0"/>
      </w:pPr>
    </w:p>
    <w:p w14:paraId="0E55457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C9B5670" w14:textId="77777777">
        <w:trPr>
          <w:trHeight w:hRule="exact" w:val="113"/>
          <w:jc w:val="center"/>
        </w:trPr>
        <w:tc>
          <w:tcPr>
            <w:tcW w:w="1560" w:type="dxa"/>
            <w:gridSpan w:val="2"/>
            <w:tcBorders>
              <w:top w:val="single" w:sz="4" w:space="0" w:color="auto"/>
            </w:tcBorders>
            <w:vAlign w:val="center"/>
          </w:tcPr>
          <w:p w14:paraId="7856F4AB"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AF5296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A430440"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806FA4C"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EBCF06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16075FE" w14:textId="77777777" w:rsidR="009967D1" w:rsidRDefault="009967D1">
            <w:pPr>
              <w:spacing w:line="300" w:lineRule="exact"/>
              <w:jc w:val="right"/>
              <w:rPr>
                <w:color w:val="323E4F" w:themeColor="text2" w:themeShade="BF"/>
                <w:sz w:val="2"/>
                <w:szCs w:val="2"/>
              </w:rPr>
            </w:pPr>
          </w:p>
        </w:tc>
      </w:tr>
      <w:tr w:rsidR="009967D1" w14:paraId="1F577B03" w14:textId="77777777">
        <w:trPr>
          <w:trHeight w:val="432"/>
          <w:jc w:val="center"/>
        </w:trPr>
        <w:tc>
          <w:tcPr>
            <w:tcW w:w="1150" w:type="dxa"/>
            <w:vAlign w:val="center"/>
          </w:tcPr>
          <w:p w14:paraId="3E4FACE7" w14:textId="77777777" w:rsidR="009967D1" w:rsidRDefault="0080134E">
            <w:pPr>
              <w:spacing w:line="400" w:lineRule="exact"/>
              <w:jc w:val="center"/>
              <w:rPr>
                <w:b/>
                <w:bCs/>
                <w:color w:val="000000" w:themeColor="text1"/>
                <w:sz w:val="24"/>
              </w:rPr>
            </w:pPr>
            <w:r>
              <w:rPr>
                <w:rFonts w:hint="eastAsia"/>
                <w:b/>
                <w:bCs/>
                <w:color w:val="000000" w:themeColor="text1"/>
                <w:sz w:val="24"/>
              </w:rPr>
              <w:t>PRL</w:t>
            </w:r>
          </w:p>
        </w:tc>
        <w:tc>
          <w:tcPr>
            <w:tcW w:w="2536" w:type="dxa"/>
            <w:gridSpan w:val="2"/>
            <w:vAlign w:val="center"/>
          </w:tcPr>
          <w:p w14:paraId="11A8E5D3" w14:textId="77777777" w:rsidR="009967D1" w:rsidRDefault="0080134E">
            <w:pPr>
              <w:spacing w:line="400" w:lineRule="exact"/>
              <w:jc w:val="center"/>
              <w:rPr>
                <w:b/>
                <w:bCs/>
                <w:color w:val="000000" w:themeColor="text1"/>
                <w:sz w:val="24"/>
              </w:rPr>
            </w:pPr>
            <w:r>
              <w:rPr>
                <w:rFonts w:hint="eastAsia"/>
                <w:b/>
                <w:bCs/>
                <w:color w:val="000000" w:themeColor="text1"/>
                <w:sz w:val="24"/>
              </w:rPr>
              <w:t>垂体催乳素</w:t>
            </w:r>
          </w:p>
        </w:tc>
        <w:tc>
          <w:tcPr>
            <w:tcW w:w="1754" w:type="dxa"/>
            <w:gridSpan w:val="2"/>
            <w:vAlign w:val="center"/>
          </w:tcPr>
          <w:p>
            <w:r>
              <w:t>{{PRL_result}}</w:t>
            </w:r>
          </w:p>
        </w:tc>
        <w:tc>
          <w:tcPr>
            <w:tcW w:w="825" w:type="dxa"/>
            <w:gridSpan w:val="2"/>
            <w:vAlign w:val="center"/>
          </w:tcPr>
          <w:p>
            <w:r>
              <w:t>{{PRL_point}}</w:t>
            </w:r>
          </w:p>
        </w:tc>
        <w:tc>
          <w:tcPr>
            <w:tcW w:w="1980" w:type="dxa"/>
            <w:gridSpan w:val="2"/>
            <w:vAlign w:val="center"/>
          </w:tcPr>
          <w:p>
            <w:r>
              <w:t>{{PRL_refer}}</w:t>
            </w:r>
          </w:p>
        </w:tc>
        <w:tc>
          <w:tcPr>
            <w:tcW w:w="1408" w:type="dxa"/>
            <w:gridSpan w:val="2"/>
            <w:vAlign w:val="center"/>
          </w:tcPr>
          <w:p>
            <w:r>
              <w:t>{{PRL_unit}}</w:t>
            </w:r>
          </w:p>
        </w:tc>
      </w:tr>
      <w:tr w:rsidR="009967D1" w14:paraId="0D7BF9FB" w14:textId="77777777">
        <w:trPr>
          <w:trHeight w:val="1651"/>
          <w:jc w:val="center"/>
        </w:trPr>
        <w:tc>
          <w:tcPr>
            <w:tcW w:w="9653" w:type="dxa"/>
            <w:gridSpan w:val="11"/>
            <w:vAlign w:val="center"/>
          </w:tcPr>
          <w:p w14:paraId="7A16D975" w14:textId="77777777" w:rsidR="009967D1" w:rsidRDefault="009967D1"/>
          <w:p w14:paraId="59A1669F" w14:textId="77777777" w:rsidR="009967D1" w:rsidRDefault="0080134E">
            <w:r>
              <w:rPr>
                <w:b/>
                <w:bCs/>
              </w:rPr>
              <w:t>Clinical significance:</w:t>
            </w:r>
            <w:r>
              <w:t xml:space="preserve"> Assesses pituitary prolactinoma, menstrual disorders, infertility; diagnoses hyperprolactinemia; reflects mammary gland lactation function. Normal reference values: Non-pregnant women 3.34–26.72 ng/ml; increases during pregnancy with gestational age, decreases postpartum.</w:t>
            </w:r>
          </w:p>
          <w:p w14:paraId="1FEACB0A" w14:textId="77777777" w:rsidR="009967D1" w:rsidRDefault="0080134E">
            <w:r>
              <w:rPr>
                <w:b/>
                <w:bCs/>
              </w:rPr>
              <w:t>临床意义：</w:t>
            </w:r>
            <w:r>
              <w:t>评估垂体催乳素瘤、月经失调、不孕不育，诊断高催乳素血症，反映乳腺泌乳功能。正常参考值：非孕期女性3.34-26.72ng/ml，孕期随孕周升高，产后下降。</w:t>
            </w:r>
          </w:p>
        </w:tc>
      </w:tr>
    </w:tbl>
    <w:p w14:paraId="6831C043" w14:textId="77777777" w:rsidR="009967D1" w:rsidRDefault="009967D1" w:rsidP="004619DA">
      <w:pPr>
        <w:pStyle w:val="0"/>
      </w:pPr>
    </w:p>
    <w:p w14:paraId="57A9BF6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8BF0A44" w14:textId="77777777">
        <w:trPr>
          <w:trHeight w:hRule="exact" w:val="113"/>
          <w:jc w:val="center"/>
        </w:trPr>
        <w:tc>
          <w:tcPr>
            <w:tcW w:w="1560" w:type="dxa"/>
            <w:gridSpan w:val="2"/>
            <w:tcBorders>
              <w:top w:val="single" w:sz="4" w:space="0" w:color="auto"/>
            </w:tcBorders>
            <w:vAlign w:val="center"/>
          </w:tcPr>
          <w:p w14:paraId="261FBB70"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A66914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BE11A1A"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5B33D33"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83F9AA2"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B1BE8CF" w14:textId="77777777" w:rsidR="009967D1" w:rsidRDefault="009967D1">
            <w:pPr>
              <w:spacing w:line="300" w:lineRule="exact"/>
              <w:jc w:val="right"/>
              <w:rPr>
                <w:color w:val="323E4F" w:themeColor="text2" w:themeShade="BF"/>
                <w:sz w:val="2"/>
                <w:szCs w:val="2"/>
              </w:rPr>
            </w:pPr>
          </w:p>
        </w:tc>
      </w:tr>
      <w:tr w:rsidR="009967D1" w14:paraId="562714C1" w14:textId="77777777">
        <w:trPr>
          <w:trHeight w:val="432"/>
          <w:jc w:val="center"/>
        </w:trPr>
        <w:tc>
          <w:tcPr>
            <w:tcW w:w="1150" w:type="dxa"/>
            <w:vAlign w:val="center"/>
          </w:tcPr>
          <w:p w14:paraId="63F9ADF7" w14:textId="77777777" w:rsidR="009967D1" w:rsidRDefault="0080134E">
            <w:pPr>
              <w:spacing w:line="400" w:lineRule="exact"/>
              <w:jc w:val="center"/>
              <w:rPr>
                <w:b/>
                <w:bCs/>
                <w:color w:val="000000" w:themeColor="text1"/>
                <w:sz w:val="24"/>
              </w:rPr>
            </w:pPr>
            <w:r>
              <w:rPr>
                <w:rFonts w:hint="eastAsia"/>
                <w:b/>
                <w:bCs/>
                <w:color w:val="000000" w:themeColor="text1"/>
                <w:sz w:val="24"/>
              </w:rPr>
              <w:t>T</w:t>
            </w:r>
          </w:p>
        </w:tc>
        <w:tc>
          <w:tcPr>
            <w:tcW w:w="2536" w:type="dxa"/>
            <w:gridSpan w:val="2"/>
            <w:vAlign w:val="center"/>
          </w:tcPr>
          <w:p w14:paraId="7C93BFB5" w14:textId="77777777" w:rsidR="009967D1" w:rsidRDefault="0080134E">
            <w:pPr>
              <w:spacing w:line="400" w:lineRule="exact"/>
              <w:jc w:val="center"/>
              <w:rPr>
                <w:b/>
                <w:bCs/>
                <w:color w:val="000000" w:themeColor="text1"/>
                <w:sz w:val="24"/>
              </w:rPr>
            </w:pPr>
            <w:r>
              <w:rPr>
                <w:rFonts w:hint="eastAsia"/>
                <w:b/>
                <w:bCs/>
                <w:color w:val="000000" w:themeColor="text1"/>
                <w:sz w:val="24"/>
              </w:rPr>
              <w:t>睾酮</w:t>
            </w:r>
          </w:p>
        </w:tc>
        <w:tc>
          <w:tcPr>
            <w:tcW w:w="1754" w:type="dxa"/>
            <w:gridSpan w:val="2"/>
            <w:vAlign w:val="center"/>
          </w:tcPr>
          <w:p>
            <w:r>
              <w:t>{{T_result}}</w:t>
            </w:r>
          </w:p>
        </w:tc>
        <w:tc>
          <w:tcPr>
            <w:tcW w:w="825" w:type="dxa"/>
            <w:gridSpan w:val="2"/>
            <w:vAlign w:val="center"/>
          </w:tcPr>
          <w:p>
            <w:r>
              <w:t>{{T_point}}</w:t>
            </w:r>
          </w:p>
        </w:tc>
        <w:tc>
          <w:tcPr>
            <w:tcW w:w="1980" w:type="dxa"/>
            <w:gridSpan w:val="2"/>
            <w:vAlign w:val="center"/>
          </w:tcPr>
          <w:p>
            <w:r>
              <w:t>{{T_refer}}</w:t>
            </w:r>
          </w:p>
        </w:tc>
        <w:tc>
          <w:tcPr>
            <w:tcW w:w="1408" w:type="dxa"/>
            <w:gridSpan w:val="2"/>
            <w:vAlign w:val="center"/>
          </w:tcPr>
          <w:p>
            <w:r>
              <w:t>{{T_unit}}</w:t>
            </w:r>
          </w:p>
        </w:tc>
      </w:tr>
      <w:tr w:rsidR="009967D1" w14:paraId="152A9BF8" w14:textId="77777777">
        <w:trPr>
          <w:trHeight w:val="1651"/>
          <w:jc w:val="center"/>
        </w:trPr>
        <w:tc>
          <w:tcPr>
            <w:tcW w:w="9653" w:type="dxa"/>
            <w:gridSpan w:val="11"/>
            <w:vAlign w:val="center"/>
          </w:tcPr>
          <w:p w14:paraId="34540F59" w14:textId="77777777" w:rsidR="009967D1" w:rsidRDefault="009967D1"/>
          <w:p w14:paraId="17DD9E01" w14:textId="77777777" w:rsidR="009967D1" w:rsidRDefault="0080134E">
            <w:r>
              <w:rPr>
                <w:b/>
                <w:bCs/>
              </w:rPr>
              <w:t>Clinical significance:</w:t>
            </w:r>
            <w:r>
              <w:t xml:space="preserve"> Secreted by ovaries and adrenal glands in females; evaluates PCOS and adrenal diseases; diagnoses female hyperandrogenism. Normal reference value: Women 0.21–3.01 nmol/L.</w:t>
            </w:r>
          </w:p>
          <w:p w14:paraId="2C034995" w14:textId="77777777" w:rsidR="009967D1" w:rsidRDefault="0080134E">
            <w:r>
              <w:rPr>
                <w:b/>
                <w:bCs/>
              </w:rPr>
              <w:t>临床意义：</w:t>
            </w:r>
            <w:r>
              <w:t>女性体内睾酮由卵巢及肾上腺分泌，评估多囊卵巢综合征、肾上腺疾病，诊断女性高雄激素血症。正常参考值：女性0.21-3.01nmol/L。</w:t>
            </w:r>
          </w:p>
        </w:tc>
      </w:tr>
    </w:tbl>
    <w:p w14:paraId="1EAE2D79" w14:textId="77777777" w:rsidR="009967D1" w:rsidRDefault="009967D1" w:rsidP="004619DA">
      <w:pPr>
        <w:pStyle w:val="0"/>
      </w:pPr>
    </w:p>
    <w:p w14:paraId="1B132D2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04FA1C5" w14:textId="77777777">
        <w:trPr>
          <w:trHeight w:hRule="exact" w:val="113"/>
          <w:jc w:val="center"/>
        </w:trPr>
        <w:tc>
          <w:tcPr>
            <w:tcW w:w="1560" w:type="dxa"/>
            <w:gridSpan w:val="2"/>
            <w:tcBorders>
              <w:top w:val="single" w:sz="4" w:space="0" w:color="auto"/>
            </w:tcBorders>
            <w:vAlign w:val="center"/>
          </w:tcPr>
          <w:p w14:paraId="49B84C3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E4FECE3"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B3F885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F5D930B"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3DF045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DB6FE89" w14:textId="77777777" w:rsidR="009967D1" w:rsidRDefault="009967D1">
            <w:pPr>
              <w:spacing w:line="300" w:lineRule="exact"/>
              <w:jc w:val="right"/>
              <w:rPr>
                <w:color w:val="323E4F" w:themeColor="text2" w:themeShade="BF"/>
                <w:sz w:val="2"/>
                <w:szCs w:val="2"/>
              </w:rPr>
            </w:pPr>
          </w:p>
        </w:tc>
      </w:tr>
      <w:tr w:rsidR="009967D1" w14:paraId="06FC2F0E" w14:textId="77777777">
        <w:trPr>
          <w:trHeight w:val="432"/>
          <w:jc w:val="center"/>
        </w:trPr>
        <w:tc>
          <w:tcPr>
            <w:tcW w:w="1150" w:type="dxa"/>
            <w:vAlign w:val="center"/>
          </w:tcPr>
          <w:p w14:paraId="09FDA76F" w14:textId="77777777" w:rsidR="009967D1" w:rsidRDefault="0080134E">
            <w:pPr>
              <w:spacing w:line="400" w:lineRule="exact"/>
              <w:jc w:val="center"/>
              <w:rPr>
                <w:b/>
                <w:bCs/>
                <w:color w:val="000000" w:themeColor="text1"/>
                <w:sz w:val="24"/>
              </w:rPr>
            </w:pPr>
            <w:r>
              <w:rPr>
                <w:rFonts w:hint="eastAsia"/>
                <w:b/>
                <w:bCs/>
                <w:color w:val="000000" w:themeColor="text1"/>
                <w:sz w:val="24"/>
              </w:rPr>
              <w:t>DHEAS</w:t>
            </w:r>
          </w:p>
        </w:tc>
        <w:tc>
          <w:tcPr>
            <w:tcW w:w="2536" w:type="dxa"/>
            <w:gridSpan w:val="2"/>
            <w:vAlign w:val="center"/>
          </w:tcPr>
          <w:p w14:paraId="630D0EE3" w14:textId="77777777" w:rsidR="009967D1" w:rsidRDefault="0080134E">
            <w:pPr>
              <w:spacing w:line="400" w:lineRule="exact"/>
              <w:jc w:val="center"/>
              <w:rPr>
                <w:b/>
                <w:bCs/>
                <w:color w:val="000000" w:themeColor="text1"/>
                <w:sz w:val="24"/>
              </w:rPr>
            </w:pPr>
            <w:r>
              <w:rPr>
                <w:rFonts w:hint="eastAsia"/>
                <w:b/>
                <w:bCs/>
                <w:color w:val="000000" w:themeColor="text1"/>
                <w:sz w:val="24"/>
              </w:rPr>
              <w:t>脱氢表雄酮硫酸酯</w:t>
            </w:r>
          </w:p>
        </w:tc>
        <w:tc>
          <w:tcPr>
            <w:tcW w:w="1754" w:type="dxa"/>
            <w:gridSpan w:val="2"/>
            <w:vAlign w:val="center"/>
          </w:tcPr>
          <w:p w14:paraId="07010036" w14:textId="77777777" w:rsidR="009967D1" w:rsidRDefault="009967D1">
            <w:pPr>
              <w:spacing w:line="400" w:lineRule="exact"/>
              <w:jc w:val="center"/>
              <w:rPr>
                <w:b/>
                <w:bCs/>
                <w:color w:val="000000" w:themeColor="text1"/>
                <w:sz w:val="24"/>
              </w:rPr>
            </w:pPr>
          </w:p>
        </w:tc>
        <w:tc>
          <w:tcPr>
            <w:tcW w:w="825" w:type="dxa"/>
            <w:gridSpan w:val="2"/>
            <w:vAlign w:val="center"/>
          </w:tcPr>
          <w:p w14:paraId="4C71D56F" w14:textId="77777777" w:rsidR="009967D1" w:rsidRDefault="009967D1">
            <w:pPr>
              <w:spacing w:line="400" w:lineRule="exact"/>
              <w:jc w:val="center"/>
              <w:rPr>
                <w:b/>
                <w:bCs/>
                <w:color w:val="000000" w:themeColor="text1"/>
                <w:sz w:val="24"/>
              </w:rPr>
            </w:pPr>
          </w:p>
        </w:tc>
        <w:tc>
          <w:tcPr>
            <w:tcW w:w="1980" w:type="dxa"/>
            <w:gridSpan w:val="2"/>
            <w:vAlign w:val="center"/>
          </w:tcPr>
          <w:p w14:paraId="4615D78B" w14:textId="77777777" w:rsidR="009967D1" w:rsidRDefault="009967D1">
            <w:pPr>
              <w:spacing w:line="400" w:lineRule="exact"/>
              <w:jc w:val="center"/>
              <w:rPr>
                <w:b/>
                <w:bCs/>
                <w:color w:val="000000" w:themeColor="text1"/>
                <w:sz w:val="24"/>
              </w:rPr>
            </w:pPr>
          </w:p>
        </w:tc>
        <w:tc>
          <w:tcPr>
            <w:tcW w:w="1408" w:type="dxa"/>
            <w:gridSpan w:val="2"/>
            <w:vAlign w:val="center"/>
          </w:tcPr>
          <w:p w14:paraId="4EFACFA1" w14:textId="77777777" w:rsidR="009967D1" w:rsidRDefault="009967D1">
            <w:pPr>
              <w:spacing w:line="400" w:lineRule="exact"/>
              <w:jc w:val="center"/>
              <w:rPr>
                <w:b/>
                <w:bCs/>
                <w:color w:val="000000" w:themeColor="text1"/>
                <w:sz w:val="24"/>
              </w:rPr>
            </w:pPr>
          </w:p>
        </w:tc>
      </w:tr>
      <w:tr w:rsidR="009967D1" w14:paraId="176575C4" w14:textId="77777777">
        <w:trPr>
          <w:trHeight w:val="1651"/>
          <w:jc w:val="center"/>
        </w:trPr>
        <w:tc>
          <w:tcPr>
            <w:tcW w:w="9653" w:type="dxa"/>
            <w:gridSpan w:val="11"/>
            <w:vAlign w:val="center"/>
          </w:tcPr>
          <w:p w14:paraId="13A5DE37" w14:textId="77777777" w:rsidR="009967D1" w:rsidRDefault="009967D1"/>
          <w:p w14:paraId="5D4AAB50" w14:textId="77777777" w:rsidR="009967D1" w:rsidRDefault="0080134E">
            <w:r>
              <w:rPr>
                <w:b/>
                <w:bCs/>
              </w:rPr>
              <w:t>Clinical significance:</w:t>
            </w:r>
            <w:r>
              <w:t xml:space="preserve"> Reflects adrenal cortex function; assists in diagnosing adrenal hyperplasia and tumors; evaluates hyperandrogenic symptoms such as hirsutism and acne in women. Normal reference value: Women 140–550 μg/dl (age-dependent, higher in younger women).</w:t>
            </w:r>
          </w:p>
          <w:p w14:paraId="149AF2E8" w14:textId="77777777" w:rsidR="009967D1" w:rsidRDefault="0080134E">
            <w:r>
              <w:rPr>
                <w:b/>
                <w:bCs/>
              </w:rPr>
              <w:t>临床意义：</w:t>
            </w:r>
            <w:r>
              <w:t>反映肾上腺皮质功能，辅助诊断肾上腺皮质增生、肿瘤，评估女性多毛、痤疮等高雄激素症状。正常参考值：女性140-550μg/dl（不同年龄段有差异，青年女性较高）。</w:t>
            </w:r>
          </w:p>
        </w:tc>
      </w:tr>
    </w:tbl>
    <w:p w14:paraId="2A639E9F" w14:textId="77777777" w:rsidR="009967D1" w:rsidRDefault="009967D1" w:rsidP="004619DA">
      <w:pPr>
        <w:pStyle w:val="0"/>
      </w:pPr>
    </w:p>
    <w:p w14:paraId="4AC8F90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9BE8356" w14:textId="77777777">
        <w:trPr>
          <w:trHeight w:hRule="exact" w:val="113"/>
          <w:jc w:val="center"/>
        </w:trPr>
        <w:tc>
          <w:tcPr>
            <w:tcW w:w="1560" w:type="dxa"/>
            <w:gridSpan w:val="2"/>
            <w:tcBorders>
              <w:top w:val="single" w:sz="4" w:space="0" w:color="auto"/>
            </w:tcBorders>
            <w:vAlign w:val="center"/>
          </w:tcPr>
          <w:p w14:paraId="1B055A88"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76ECB9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085B5A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4959D6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AC56ACA"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29E9B75" w14:textId="77777777" w:rsidR="009967D1" w:rsidRDefault="009967D1">
            <w:pPr>
              <w:spacing w:line="300" w:lineRule="exact"/>
              <w:jc w:val="right"/>
              <w:rPr>
                <w:color w:val="323E4F" w:themeColor="text2" w:themeShade="BF"/>
                <w:sz w:val="2"/>
                <w:szCs w:val="2"/>
              </w:rPr>
            </w:pPr>
          </w:p>
        </w:tc>
      </w:tr>
      <w:tr w:rsidR="009967D1" w14:paraId="1BB622D7" w14:textId="77777777">
        <w:trPr>
          <w:trHeight w:val="432"/>
          <w:jc w:val="center"/>
        </w:trPr>
        <w:tc>
          <w:tcPr>
            <w:tcW w:w="1150" w:type="dxa"/>
            <w:vAlign w:val="center"/>
          </w:tcPr>
          <w:p w14:paraId="4CC15E0C" w14:textId="77777777" w:rsidR="009967D1" w:rsidRDefault="0080134E">
            <w:pPr>
              <w:spacing w:line="400" w:lineRule="exact"/>
              <w:jc w:val="center"/>
              <w:rPr>
                <w:b/>
                <w:bCs/>
                <w:color w:val="000000" w:themeColor="text1"/>
                <w:sz w:val="24"/>
              </w:rPr>
            </w:pPr>
            <w:r>
              <w:rPr>
                <w:rFonts w:hint="eastAsia"/>
                <w:b/>
                <w:bCs/>
                <w:color w:val="000000" w:themeColor="text1"/>
                <w:sz w:val="24"/>
              </w:rPr>
              <w:t>COR</w:t>
            </w:r>
          </w:p>
        </w:tc>
        <w:tc>
          <w:tcPr>
            <w:tcW w:w="2536" w:type="dxa"/>
            <w:gridSpan w:val="2"/>
            <w:vAlign w:val="center"/>
          </w:tcPr>
          <w:p w14:paraId="3141CA1A" w14:textId="77777777" w:rsidR="009967D1" w:rsidRDefault="0080134E">
            <w:pPr>
              <w:spacing w:line="400" w:lineRule="exact"/>
              <w:jc w:val="center"/>
              <w:rPr>
                <w:b/>
                <w:bCs/>
                <w:color w:val="000000" w:themeColor="text1"/>
                <w:sz w:val="24"/>
              </w:rPr>
            </w:pPr>
            <w:r>
              <w:rPr>
                <w:rFonts w:hint="eastAsia"/>
                <w:b/>
                <w:bCs/>
                <w:color w:val="000000" w:themeColor="text1"/>
                <w:sz w:val="24"/>
              </w:rPr>
              <w:t>皮质醇</w:t>
            </w:r>
          </w:p>
        </w:tc>
        <w:tc>
          <w:tcPr>
            <w:tcW w:w="1754" w:type="dxa"/>
            <w:gridSpan w:val="2"/>
            <w:vAlign w:val="center"/>
          </w:tcPr>
          <w:p>
            <w:r>
              <w:t>{{COR_result}}</w:t>
            </w:r>
          </w:p>
        </w:tc>
        <w:tc>
          <w:tcPr>
            <w:tcW w:w="825" w:type="dxa"/>
            <w:gridSpan w:val="2"/>
            <w:vAlign w:val="center"/>
          </w:tcPr>
          <w:p>
            <w:r>
              <w:t>{{COR_point}}</w:t>
            </w:r>
          </w:p>
        </w:tc>
        <w:tc>
          <w:tcPr>
            <w:tcW w:w="1980" w:type="dxa"/>
            <w:gridSpan w:val="2"/>
            <w:vAlign w:val="center"/>
          </w:tcPr>
          <w:p>
            <w:r>
              <w:t>{{COR_refer}}</w:t>
            </w:r>
          </w:p>
        </w:tc>
        <w:tc>
          <w:tcPr>
            <w:tcW w:w="1408" w:type="dxa"/>
            <w:gridSpan w:val="2"/>
            <w:vAlign w:val="center"/>
          </w:tcPr>
          <w:p>
            <w:r>
              <w:t>{{COR_unit}}</w:t>
            </w:r>
          </w:p>
        </w:tc>
      </w:tr>
      <w:tr w:rsidR="009967D1" w14:paraId="27E3F445" w14:textId="77777777">
        <w:trPr>
          <w:trHeight w:val="1651"/>
          <w:jc w:val="center"/>
        </w:trPr>
        <w:tc>
          <w:tcPr>
            <w:tcW w:w="9653" w:type="dxa"/>
            <w:gridSpan w:val="11"/>
            <w:vAlign w:val="center"/>
          </w:tcPr>
          <w:p w14:paraId="356364E7" w14:textId="77777777" w:rsidR="009967D1" w:rsidRDefault="009967D1"/>
          <w:p w14:paraId="4122C0BE" w14:textId="77777777" w:rsidR="009967D1" w:rsidRDefault="0080134E">
            <w:r>
              <w:rPr>
                <w:b/>
                <w:bCs/>
              </w:rPr>
              <w:t>Clinical significance:</w:t>
            </w:r>
            <w:r>
              <w:t xml:space="preserve"> (Previously mentioned in blood cortisol, here focusing on female endocrinology) Reflects adrenal cortex function; diagnoses Cushing’s syndrome and adrenal insufficiency; evaluates stress response. Normal reference values: 8 a.m. 138–635 nmol/L; 4 p.m. 83–414 nmol/L; midnight &lt;129 nmol/L; shows diurnal rhythm.</w:t>
            </w:r>
          </w:p>
          <w:p w14:paraId="6D491628" w14:textId="77777777" w:rsidR="009967D1" w:rsidRDefault="0080134E">
            <w:r>
              <w:rPr>
                <w:b/>
                <w:bCs/>
              </w:rPr>
              <w:t>临床意义：</w:t>
            </w:r>
            <w:r>
              <w:t>（前文血皮质醇已提及，此处侧重女性内分泌）反映肾上腺皮质功能，诊断库欣综合征、肾上腺皮质功能减退，评估应激状态。正常参考值：晨8点138-635nmol/L，下午4点83-414nmol/L，午夜0点＜129nmol/L，有昼夜节律。</w:t>
            </w:r>
          </w:p>
        </w:tc>
      </w:tr>
    </w:tbl>
    <w:p w14:paraId="6F1EB894" w14:textId="77777777" w:rsidR="009967D1" w:rsidRDefault="009967D1" w:rsidP="004619DA">
      <w:pPr>
        <w:pStyle w:val="0"/>
      </w:pPr>
    </w:p>
    <w:p w14:paraId="089C0AD8"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78F1AC0" w14:textId="77777777">
        <w:trPr>
          <w:trHeight w:hRule="exact" w:val="113"/>
          <w:jc w:val="center"/>
        </w:trPr>
        <w:tc>
          <w:tcPr>
            <w:tcW w:w="1560" w:type="dxa"/>
            <w:gridSpan w:val="2"/>
            <w:tcBorders>
              <w:top w:val="single" w:sz="4" w:space="0" w:color="auto"/>
            </w:tcBorders>
            <w:vAlign w:val="center"/>
          </w:tcPr>
          <w:p w14:paraId="6558A45C"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4A6377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7AB76A0"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7F2A52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2B6988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205E781" w14:textId="77777777" w:rsidR="009967D1" w:rsidRDefault="009967D1">
            <w:pPr>
              <w:spacing w:line="300" w:lineRule="exact"/>
              <w:jc w:val="right"/>
              <w:rPr>
                <w:color w:val="323E4F" w:themeColor="text2" w:themeShade="BF"/>
                <w:sz w:val="2"/>
                <w:szCs w:val="2"/>
              </w:rPr>
            </w:pPr>
          </w:p>
        </w:tc>
      </w:tr>
      <w:tr w:rsidR="009967D1" w14:paraId="1A774A19" w14:textId="77777777">
        <w:trPr>
          <w:trHeight w:val="432"/>
          <w:jc w:val="center"/>
        </w:trPr>
        <w:tc>
          <w:tcPr>
            <w:tcW w:w="1150" w:type="dxa"/>
            <w:vAlign w:val="center"/>
          </w:tcPr>
          <w:p w14:paraId="48021E40" w14:textId="77777777" w:rsidR="009967D1" w:rsidRDefault="0080134E">
            <w:pPr>
              <w:spacing w:line="400" w:lineRule="exact"/>
              <w:jc w:val="center"/>
              <w:rPr>
                <w:b/>
                <w:bCs/>
                <w:color w:val="000000" w:themeColor="text1"/>
                <w:sz w:val="24"/>
              </w:rPr>
            </w:pPr>
            <w:r>
              <w:rPr>
                <w:rFonts w:hint="eastAsia"/>
                <w:b/>
                <w:bCs/>
                <w:color w:val="000000" w:themeColor="text1"/>
                <w:sz w:val="24"/>
              </w:rPr>
              <w:t>IGF1</w:t>
            </w:r>
          </w:p>
        </w:tc>
        <w:tc>
          <w:tcPr>
            <w:tcW w:w="2536" w:type="dxa"/>
            <w:gridSpan w:val="2"/>
            <w:vAlign w:val="center"/>
          </w:tcPr>
          <w:p w14:paraId="144F69AD"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胰岛素样生长因子 1 </w:t>
            </w:r>
          </w:p>
        </w:tc>
        <w:tc>
          <w:tcPr>
            <w:tcW w:w="1754" w:type="dxa"/>
            <w:gridSpan w:val="2"/>
            <w:vAlign w:val="center"/>
          </w:tcPr>
          <w:p w14:paraId="4595BEF4" w14:textId="77777777" w:rsidR="009967D1" w:rsidRDefault="009967D1">
            <w:pPr>
              <w:spacing w:line="400" w:lineRule="exact"/>
              <w:jc w:val="center"/>
              <w:rPr>
                <w:b/>
                <w:bCs/>
                <w:color w:val="000000" w:themeColor="text1"/>
                <w:sz w:val="24"/>
              </w:rPr>
            </w:pPr>
          </w:p>
        </w:tc>
        <w:tc>
          <w:tcPr>
            <w:tcW w:w="825" w:type="dxa"/>
            <w:gridSpan w:val="2"/>
            <w:vAlign w:val="center"/>
          </w:tcPr>
          <w:p w14:paraId="1CCB7DD2" w14:textId="77777777" w:rsidR="009967D1" w:rsidRDefault="009967D1">
            <w:pPr>
              <w:spacing w:line="400" w:lineRule="exact"/>
              <w:jc w:val="center"/>
              <w:rPr>
                <w:b/>
                <w:bCs/>
                <w:color w:val="000000" w:themeColor="text1"/>
                <w:sz w:val="24"/>
              </w:rPr>
            </w:pPr>
          </w:p>
        </w:tc>
        <w:tc>
          <w:tcPr>
            <w:tcW w:w="1980" w:type="dxa"/>
            <w:gridSpan w:val="2"/>
            <w:vAlign w:val="center"/>
          </w:tcPr>
          <w:p w14:paraId="45A69956" w14:textId="77777777" w:rsidR="009967D1" w:rsidRDefault="009967D1">
            <w:pPr>
              <w:spacing w:line="400" w:lineRule="exact"/>
              <w:jc w:val="center"/>
              <w:rPr>
                <w:b/>
                <w:bCs/>
                <w:color w:val="000000" w:themeColor="text1"/>
                <w:sz w:val="24"/>
              </w:rPr>
            </w:pPr>
          </w:p>
        </w:tc>
        <w:tc>
          <w:tcPr>
            <w:tcW w:w="1408" w:type="dxa"/>
            <w:gridSpan w:val="2"/>
            <w:vAlign w:val="center"/>
          </w:tcPr>
          <w:p w14:paraId="23554CFD" w14:textId="77777777" w:rsidR="009967D1" w:rsidRDefault="009967D1">
            <w:pPr>
              <w:spacing w:line="400" w:lineRule="exact"/>
              <w:jc w:val="center"/>
              <w:rPr>
                <w:b/>
                <w:bCs/>
                <w:color w:val="000000" w:themeColor="text1"/>
                <w:sz w:val="24"/>
              </w:rPr>
            </w:pPr>
          </w:p>
        </w:tc>
      </w:tr>
      <w:tr w:rsidR="009967D1" w14:paraId="2141F1AB" w14:textId="77777777">
        <w:trPr>
          <w:trHeight w:val="1651"/>
          <w:jc w:val="center"/>
        </w:trPr>
        <w:tc>
          <w:tcPr>
            <w:tcW w:w="9653" w:type="dxa"/>
            <w:gridSpan w:val="11"/>
            <w:vAlign w:val="center"/>
          </w:tcPr>
          <w:p w14:paraId="6D625FCB" w14:textId="77777777" w:rsidR="009967D1" w:rsidRDefault="009967D1"/>
          <w:p w14:paraId="7201F038" w14:textId="77777777" w:rsidR="009967D1" w:rsidRDefault="0080134E">
            <w:r>
              <w:rPr>
                <w:b/>
                <w:bCs/>
              </w:rPr>
              <w:t>Clinical significance:</w:t>
            </w:r>
            <w:r>
              <w:t xml:space="preserve"> Reflects growth hormone (GH) activity; evaluates growth and development (e.g., gigantism, dwarfism); diagnoses acromegaly and GH deficiency; also related to tumor occurrence and progression. Normal reference value: Adult women 70–200 ng/ml (method-dependent).</w:t>
            </w:r>
          </w:p>
          <w:p w14:paraId="4F698FC0" w14:textId="77777777" w:rsidR="009967D1" w:rsidRDefault="0080134E">
            <w:r>
              <w:rPr>
                <w:b/>
                <w:bCs/>
              </w:rPr>
              <w:t>临床意义：</w:t>
            </w:r>
            <w:r>
              <w:t>反映生长激素（GH）功能，评估生长发育（如巨人症、侏儒症），诊断肢端肥大症、生长激素缺乏症，也与肿瘤发生发展相关。正常参考值：成人女性70-200ng/ml（不同检测方法有差异）。</w:t>
            </w:r>
          </w:p>
          <w:p w14:paraId="1FBC98E3" w14:textId="77777777" w:rsidR="009967D1" w:rsidRDefault="009967D1"/>
        </w:tc>
      </w:tr>
    </w:tbl>
    <w:p w14:paraId="79E0DF3F" w14:textId="77777777" w:rsidR="009967D1" w:rsidRDefault="009967D1" w:rsidP="004619DA">
      <w:pPr>
        <w:pStyle w:val="0"/>
      </w:pPr>
    </w:p>
    <w:p w14:paraId="42E1619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AEE447D" w14:textId="77777777">
        <w:trPr>
          <w:trHeight w:hRule="exact" w:val="113"/>
          <w:jc w:val="center"/>
        </w:trPr>
        <w:tc>
          <w:tcPr>
            <w:tcW w:w="1560" w:type="dxa"/>
            <w:gridSpan w:val="2"/>
            <w:tcBorders>
              <w:top w:val="single" w:sz="4" w:space="0" w:color="auto"/>
            </w:tcBorders>
            <w:vAlign w:val="center"/>
          </w:tcPr>
          <w:p w14:paraId="5B6967F8"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5C682F0"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B9A15F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1498A6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D4FA44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35E123C" w14:textId="77777777" w:rsidR="009967D1" w:rsidRDefault="009967D1">
            <w:pPr>
              <w:spacing w:line="300" w:lineRule="exact"/>
              <w:jc w:val="right"/>
              <w:rPr>
                <w:color w:val="323E4F" w:themeColor="text2" w:themeShade="BF"/>
                <w:sz w:val="2"/>
                <w:szCs w:val="2"/>
              </w:rPr>
            </w:pPr>
          </w:p>
        </w:tc>
      </w:tr>
      <w:tr w:rsidR="009967D1" w14:paraId="1D4DB9B1" w14:textId="77777777">
        <w:trPr>
          <w:trHeight w:val="432"/>
          <w:jc w:val="center"/>
        </w:trPr>
        <w:tc>
          <w:tcPr>
            <w:tcW w:w="1150" w:type="dxa"/>
            <w:vAlign w:val="center"/>
          </w:tcPr>
          <w:p w14:paraId="61C64E31" w14:textId="77777777" w:rsidR="009967D1" w:rsidRDefault="0080134E">
            <w:pPr>
              <w:spacing w:line="400" w:lineRule="exact"/>
              <w:jc w:val="center"/>
              <w:rPr>
                <w:b/>
                <w:bCs/>
                <w:color w:val="000000" w:themeColor="text1"/>
                <w:sz w:val="24"/>
              </w:rPr>
            </w:pPr>
            <w:r>
              <w:rPr>
                <w:rFonts w:hint="eastAsia"/>
                <w:b/>
                <w:bCs/>
                <w:color w:val="000000" w:themeColor="text1"/>
                <w:sz w:val="24"/>
              </w:rPr>
              <w:t>AMH</w:t>
            </w:r>
          </w:p>
        </w:tc>
        <w:tc>
          <w:tcPr>
            <w:tcW w:w="2536" w:type="dxa"/>
            <w:gridSpan w:val="2"/>
            <w:vAlign w:val="center"/>
          </w:tcPr>
          <w:p w14:paraId="0FB2A564" w14:textId="77777777" w:rsidR="009967D1" w:rsidRDefault="0080134E">
            <w:pPr>
              <w:spacing w:line="400" w:lineRule="exact"/>
              <w:jc w:val="center"/>
              <w:rPr>
                <w:b/>
                <w:bCs/>
                <w:color w:val="000000" w:themeColor="text1"/>
                <w:sz w:val="24"/>
              </w:rPr>
            </w:pPr>
            <w:r>
              <w:rPr>
                <w:rFonts w:hint="eastAsia"/>
                <w:b/>
                <w:bCs/>
                <w:color w:val="000000" w:themeColor="text1"/>
                <w:sz w:val="24"/>
              </w:rPr>
              <w:t>人抗缪勒氏管激素</w:t>
            </w:r>
          </w:p>
        </w:tc>
        <w:tc>
          <w:tcPr>
            <w:tcW w:w="1754" w:type="dxa"/>
            <w:gridSpan w:val="2"/>
            <w:vAlign w:val="center"/>
          </w:tcPr>
          <w:p w14:paraId="537F9CE8" w14:textId="77777777" w:rsidR="009967D1" w:rsidRDefault="009967D1">
            <w:pPr>
              <w:spacing w:line="400" w:lineRule="exact"/>
              <w:jc w:val="center"/>
              <w:rPr>
                <w:b/>
                <w:bCs/>
                <w:color w:val="000000" w:themeColor="text1"/>
                <w:sz w:val="24"/>
              </w:rPr>
            </w:pPr>
          </w:p>
        </w:tc>
        <w:tc>
          <w:tcPr>
            <w:tcW w:w="825" w:type="dxa"/>
            <w:gridSpan w:val="2"/>
            <w:vAlign w:val="center"/>
          </w:tcPr>
          <w:p w14:paraId="61B3573B" w14:textId="77777777" w:rsidR="009967D1" w:rsidRDefault="009967D1">
            <w:pPr>
              <w:spacing w:line="400" w:lineRule="exact"/>
              <w:jc w:val="center"/>
              <w:rPr>
                <w:b/>
                <w:bCs/>
                <w:color w:val="000000" w:themeColor="text1"/>
                <w:sz w:val="24"/>
              </w:rPr>
            </w:pPr>
          </w:p>
        </w:tc>
        <w:tc>
          <w:tcPr>
            <w:tcW w:w="1980" w:type="dxa"/>
            <w:gridSpan w:val="2"/>
            <w:vAlign w:val="center"/>
          </w:tcPr>
          <w:p w14:paraId="3826624D" w14:textId="77777777" w:rsidR="009967D1" w:rsidRDefault="009967D1">
            <w:pPr>
              <w:spacing w:line="400" w:lineRule="exact"/>
              <w:jc w:val="center"/>
              <w:rPr>
                <w:b/>
                <w:bCs/>
                <w:color w:val="000000" w:themeColor="text1"/>
                <w:sz w:val="24"/>
              </w:rPr>
            </w:pPr>
          </w:p>
        </w:tc>
        <w:tc>
          <w:tcPr>
            <w:tcW w:w="1408" w:type="dxa"/>
            <w:gridSpan w:val="2"/>
            <w:vAlign w:val="center"/>
          </w:tcPr>
          <w:p w14:paraId="33960515" w14:textId="77777777" w:rsidR="009967D1" w:rsidRDefault="009967D1">
            <w:pPr>
              <w:spacing w:line="400" w:lineRule="exact"/>
              <w:jc w:val="center"/>
              <w:rPr>
                <w:b/>
                <w:bCs/>
                <w:color w:val="000000" w:themeColor="text1"/>
                <w:sz w:val="24"/>
              </w:rPr>
            </w:pPr>
          </w:p>
        </w:tc>
      </w:tr>
      <w:tr w:rsidR="009967D1" w14:paraId="07BC087F" w14:textId="77777777">
        <w:trPr>
          <w:trHeight w:val="1651"/>
          <w:jc w:val="center"/>
        </w:trPr>
        <w:tc>
          <w:tcPr>
            <w:tcW w:w="9653" w:type="dxa"/>
            <w:gridSpan w:val="11"/>
            <w:vAlign w:val="center"/>
          </w:tcPr>
          <w:p w14:paraId="49D98495" w14:textId="77777777" w:rsidR="009967D1" w:rsidRDefault="009967D1"/>
          <w:p w14:paraId="38C01455" w14:textId="77777777" w:rsidR="009967D1" w:rsidRDefault="0080134E">
            <w:r>
              <w:rPr>
                <w:b/>
                <w:bCs/>
              </w:rPr>
              <w:t>Clinical significance:</w:t>
            </w:r>
            <w:r>
              <w:t xml:space="preserve"> Evaluates ovarian reserve and predicts ovarian responsiveness (e.g., in assisted reproductive technology for ovarian stimulation); diagnoses PCOS and premature ovarian failure. Normal reference value: Women 2–6.8 ng/ml (age-dependent, higher in younger women, lower after menopause).</w:t>
            </w:r>
          </w:p>
          <w:p w14:paraId="3BD8D04E" w14:textId="77777777" w:rsidR="009967D1" w:rsidRDefault="0080134E">
            <w:r>
              <w:rPr>
                <w:b/>
                <w:bCs/>
              </w:rPr>
              <w:t>临床意义：</w:t>
            </w:r>
            <w:r>
              <w:t>评估卵巢储备功能，预测卵巢反应性（如辅助生殖技术中判断促排卵效果），诊断多囊卵巢综合征、卵巢早衰。正常参考值：女性2-6.8ng/ml（不同年龄段有差异，青年女性较高，绝经后降低）。</w:t>
            </w:r>
          </w:p>
        </w:tc>
      </w:tr>
    </w:tbl>
    <w:p w14:paraId="539EA08A"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23098EBF" w14:textId="1D48AEDA" w:rsidR="009967D1" w:rsidRDefault="00CD2F02" w:rsidP="00CD2F02">
      <w:pPr>
        <w:pStyle w:val="3-"/>
      </w:pPr>
      <w:r>
        <w:lastRenderedPageBreak/>
        <w:t>Male Hormone</w:t>
      </w:r>
      <w:r>
        <w:br/>
      </w:r>
      <w:r w:rsidR="0080134E">
        <w:rPr>
          <w:rFonts w:hint="eastAsia"/>
        </w:rPr>
        <w:t>男性荷尔蒙</w:t>
      </w:r>
    </w:p>
    <w:p w14:paraId="32DF50D5" w14:textId="77777777" w:rsidR="00CD2F02" w:rsidRDefault="00CD2F02" w:rsidP="00CD2F02">
      <w:pPr>
        <w:pStyle w:val="0"/>
      </w:pPr>
    </w:p>
    <w:p w14:paraId="1EFF76E3" w14:textId="0DE3A29A" w:rsidR="00CD2F02" w:rsidRDefault="00CD2F02" w:rsidP="00CD2F02">
      <w:pPr>
        <w:pStyle w:val="00"/>
      </w:pPr>
      <w:r w:rsidRPr="00CD2F02">
        <w:t>Male hormone testing is a key laboratory evaluation for assessing male reproductive health, endocrine function, and overall metabolic status. The main indicators include testosterone (T), dehydroepiandrosterone sulfate (DHEAS), insulin-like growth factor-1 (IGF-1), progesterone (PROG), follicle-stimulating hormone (FSH), luteinizing hormone (LH), prolactin (PRL), cortisol, and estradiol (E2). These hormones regulate not only reproductive and sexual health but also muscle strength, bone metabolism, mental well-being, and anti-aging capacity.</w:t>
      </w:r>
    </w:p>
    <w:p w14:paraId="66E80EC5" w14:textId="7BD19D1A" w:rsidR="00CD2F02" w:rsidRDefault="00CD2F02" w:rsidP="00CD2F02">
      <w:pPr>
        <w:pStyle w:val="0"/>
      </w:pPr>
      <w:r>
        <w:t>男性荷尔蒙检测是评估男性生殖健康、内分泌功能与整体代谢状态的重要检查，主要包括睾酮（</w:t>
      </w:r>
      <w:r>
        <w:t>T</w:t>
      </w:r>
      <w:r>
        <w:t>）、脱氢表雄酮硫酸酯（</w:t>
      </w:r>
      <w:r>
        <w:t>DHEAS</w:t>
      </w:r>
      <w:r>
        <w:t>）、胰岛素样生长因子</w:t>
      </w:r>
      <w:r>
        <w:t>1</w:t>
      </w:r>
      <w:r>
        <w:t>（</w:t>
      </w:r>
      <w:r>
        <w:t>IGF-1</w:t>
      </w:r>
      <w:r>
        <w:t>）、孕酮（</w:t>
      </w:r>
      <w:r>
        <w:t>PROG</w:t>
      </w:r>
      <w:r>
        <w:t>）、促卵泡激素（</w:t>
      </w:r>
      <w:r>
        <w:t>FSH</w:t>
      </w:r>
      <w:r>
        <w:t>）、促黄体生成素（</w:t>
      </w:r>
      <w:r>
        <w:t>LH</w:t>
      </w:r>
      <w:r>
        <w:t>）、催乳素（</w:t>
      </w:r>
      <w:r>
        <w:t>PRL</w:t>
      </w:r>
      <w:r>
        <w:t>）、皮质醇（</w:t>
      </w:r>
      <w:r>
        <w:t>Cortisol</w:t>
      </w:r>
      <w:r>
        <w:t>）、雌二醇（</w:t>
      </w:r>
      <w:r>
        <w:t>E2</w:t>
      </w:r>
      <w:r>
        <w:t>）等指标。这些激素不仅调控男性的生殖功能与性健康，还影响肌肉力量、骨骼代谢、心理状态和抗衰老能力。</w:t>
      </w:r>
    </w:p>
    <w:p w14:paraId="6F8B787A" w14:textId="44345AD7" w:rsidR="00CD2F02" w:rsidRDefault="00CD2F02" w:rsidP="00CD2F02">
      <w:pPr>
        <w:pStyle w:val="00"/>
      </w:pPr>
      <w:r w:rsidRPr="00CD2F02">
        <w:t>Testosterone (T) is the primary male sex hormone, essential for sexual function, sperm production, muscle mass, and vitality. DHEAS is an important adrenal androgen precursor, closely linked to sexual health and aging. IGF-1 reflects growth hormone activity and is vital for cellular repair, anti-aging, and muscle synthesis. FSH and LH, secreted by the pituitary gland, are critical regulators of spermatogenesis and testosterone production, respectively. Progesterone (PROG) and estradiol (E2), though often considered female hormones, also play important roles in men, influencing mood regulation, bone health, and reproductive function. Prolactin (PRL) abnormalities can affect libido and fertility. Cortisol, the stress hormone, is central to energy metabolism, immune response, and stress adaptation.</w:t>
      </w:r>
    </w:p>
    <w:p w14:paraId="5499C326" w14:textId="3A6F709E" w:rsidR="00CD2F02" w:rsidRDefault="00CD2F02" w:rsidP="00CD2F02">
      <w:pPr>
        <w:pStyle w:val="0"/>
      </w:pPr>
      <w:r>
        <w:t>睾酮（</w:t>
      </w:r>
      <w:r>
        <w:t>T</w:t>
      </w:r>
      <w:r>
        <w:t>）是男性最核心的性激素，直接关系到性功能、精子生成、肌肉力量与活力。</w:t>
      </w:r>
      <w:r>
        <w:t>DHEAS</w:t>
      </w:r>
      <w:r>
        <w:t>是肾上腺分泌的重要雄激素前体，与性功能和衰老进程密切相关。</w:t>
      </w:r>
      <w:r>
        <w:t>IGF-1</w:t>
      </w:r>
      <w:r>
        <w:t>反映生长激素活性，是细胞修复、抗衰老和肌肉合成的重要指标。</w:t>
      </w:r>
      <w:r>
        <w:t>FSH</w:t>
      </w:r>
      <w:r>
        <w:t>与</w:t>
      </w:r>
      <w:r>
        <w:t>LH</w:t>
      </w:r>
      <w:r>
        <w:t>则由垂体分泌，分别参与精子生成和睾酮合成，是评估生殖能力与内分泌轴功能的关键指标。孕酮（</w:t>
      </w:r>
      <w:r>
        <w:t>PROG</w:t>
      </w:r>
      <w:r>
        <w:t>）与雌二醇（</w:t>
      </w:r>
      <w:r>
        <w:t>E2</w:t>
      </w:r>
      <w:r>
        <w:t>）虽常被认为是</w:t>
      </w:r>
      <w:r>
        <w:t>“</w:t>
      </w:r>
      <w:r>
        <w:t>女性激素</w:t>
      </w:r>
      <w:r>
        <w:t>”</w:t>
      </w:r>
      <w:r>
        <w:t>，但在男性体内同样参与调节情绪、骨骼健康和生殖功能。</w:t>
      </w:r>
      <w:r>
        <w:t>PRL</w:t>
      </w:r>
      <w:r>
        <w:t>（催乳素）水平异常可能影响性欲和生殖功能。皮质醇（</w:t>
      </w:r>
      <w:r>
        <w:t>Cortisol</w:t>
      </w:r>
      <w:r>
        <w:t>）作为应激激素，则与能量代谢、免疫反应和压力适应密切相关。</w:t>
      </w:r>
    </w:p>
    <w:p w14:paraId="29E07920" w14:textId="6F0688D0" w:rsidR="00CD2F02" w:rsidRDefault="00CD2F02" w:rsidP="00CD2F02">
      <w:pPr>
        <w:pStyle w:val="00"/>
      </w:pPr>
      <w:r w:rsidRPr="00CD2F02">
        <w:t>In preventive healthcare, male hormone testing is significant not only for detecting erectile dysfunction, infertility, and androgen deficiency, but also for identifying risks associated with metabolic syndrome, obesity, cardiovascular disease, osteoporosis, and chronic fatigue. Regular monitoring enables early detection of hormonal imbalances and supports personalized interventions in nutrition, exercise, anti-aging strategies, and endocrine management.</w:t>
      </w:r>
    </w:p>
    <w:p w14:paraId="6A1575E5" w14:textId="1B45D72B" w:rsidR="00CD2F02" w:rsidRDefault="00E0487F" w:rsidP="00CD2F02">
      <w:pPr>
        <w:pStyle w:val="0"/>
      </w:pPr>
      <w:r w:rsidRPr="009E1205">
        <w:rPr>
          <w:noProof/>
        </w:rPr>
        <w:drawing>
          <wp:anchor distT="0" distB="0" distL="114300" distR="114300" simplePos="0" relativeHeight="251703296" behindDoc="0" locked="0" layoutInCell="1" allowOverlap="1" wp14:anchorId="62C3C476" wp14:editId="4BED34BA">
            <wp:simplePos x="0" y="0"/>
            <wp:positionH relativeFrom="column">
              <wp:posOffset>1857</wp:posOffset>
            </wp:positionH>
            <wp:positionV relativeFrom="paragraph">
              <wp:posOffset>702069</wp:posOffset>
            </wp:positionV>
            <wp:extent cx="6080125" cy="1203767"/>
            <wp:effectExtent l="0" t="0" r="3175" b="3175"/>
            <wp:wrapNone/>
            <wp:docPr id="15237941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794150" name="图片 1"/>
                    <pic:cNvPicPr/>
                  </pic:nvPicPr>
                  <pic:blipFill rotWithShape="1">
                    <a:blip r:embed="rId33">
                      <a:extLst>
                        <a:ext uri="{28A0092B-C50C-407E-A947-70E740481C1C}">
                          <a14:useLocalDpi xmlns:a14="http://schemas.microsoft.com/office/drawing/2010/main" val="0"/>
                        </a:ext>
                      </a:extLst>
                    </a:blip>
                    <a:srcRect t="6393" b="58995"/>
                    <a:stretch>
                      <a:fillRect/>
                    </a:stretch>
                  </pic:blipFill>
                  <pic:spPr bwMode="auto">
                    <a:xfrm>
                      <a:off x="0" y="0"/>
                      <a:ext cx="6080125" cy="12037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D2F02">
        <w:t>在健康管理中，男性荷尔蒙检测的意义不仅限于发现性功能障碍、不育症、雄激素缺乏，还与代谢综合征、肥胖、心血管疾病、骨质疏松、慢性疲劳等密切相关。定期检测有助于全面评估男性的健康状态，及早发现激素失衡，指导个性化的营养、运动、抗衰老及内分泌干预。</w:t>
      </w:r>
    </w:p>
    <w:p w14:paraId="6BE8BCC1" w14:textId="65BCE90F" w:rsidR="00CD2F02" w:rsidRPr="00CD2F02" w:rsidRDefault="00CD2F02" w:rsidP="00CD2F02">
      <w:pPr>
        <w:pStyle w:val="0"/>
      </w:pPr>
    </w:p>
    <w:p w14:paraId="40B60230" w14:textId="77777777" w:rsidR="009967D1" w:rsidRDefault="0080134E">
      <w:pPr>
        <w:widowControl/>
        <w:jc w:val="left"/>
      </w:pPr>
      <w:r>
        <w:br w:type="page"/>
      </w:r>
    </w:p>
    <w:p w14:paraId="217ECC3F"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F691713" w14:textId="77777777">
        <w:trPr>
          <w:trHeight w:val="839"/>
          <w:jc w:val="center"/>
        </w:trPr>
        <w:tc>
          <w:tcPr>
            <w:tcW w:w="1150" w:type="dxa"/>
            <w:tcBorders>
              <w:top w:val="single" w:sz="4" w:space="0" w:color="auto"/>
              <w:bottom w:val="single" w:sz="4" w:space="0" w:color="auto"/>
            </w:tcBorders>
            <w:vAlign w:val="center"/>
          </w:tcPr>
          <w:p w14:paraId="186E5A7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5C905473"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2804B0D9"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57012BF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63010A0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39EACA8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0FB3EF9B" w14:textId="77777777">
        <w:trPr>
          <w:trHeight w:val="1111"/>
          <w:jc w:val="center"/>
        </w:trPr>
        <w:tc>
          <w:tcPr>
            <w:tcW w:w="9653" w:type="dxa"/>
            <w:gridSpan w:val="11"/>
            <w:tcBorders>
              <w:top w:val="single" w:sz="4" w:space="0" w:color="auto"/>
              <w:bottom w:val="single" w:sz="4" w:space="0" w:color="auto"/>
            </w:tcBorders>
            <w:vAlign w:val="center"/>
          </w:tcPr>
          <w:p w14:paraId="7DA73945"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Male Hormone</w:t>
            </w:r>
          </w:p>
          <w:p w14:paraId="134D188F"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男性荷尔蒙</w:t>
            </w:r>
          </w:p>
        </w:tc>
      </w:tr>
      <w:tr w:rsidR="009967D1" w14:paraId="19699797" w14:textId="77777777">
        <w:trPr>
          <w:trHeight w:hRule="exact" w:val="113"/>
          <w:jc w:val="center"/>
        </w:trPr>
        <w:tc>
          <w:tcPr>
            <w:tcW w:w="1560" w:type="dxa"/>
            <w:gridSpan w:val="2"/>
            <w:tcBorders>
              <w:top w:val="single" w:sz="4" w:space="0" w:color="auto"/>
            </w:tcBorders>
            <w:vAlign w:val="center"/>
          </w:tcPr>
          <w:p w14:paraId="04FBD5FE"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C4D2C1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7A15EBF"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4BCB0E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5DBA73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6AB019B" w14:textId="77777777" w:rsidR="009967D1" w:rsidRDefault="009967D1">
            <w:pPr>
              <w:spacing w:line="300" w:lineRule="exact"/>
              <w:jc w:val="right"/>
              <w:rPr>
                <w:color w:val="323E4F" w:themeColor="text2" w:themeShade="BF"/>
                <w:sz w:val="2"/>
                <w:szCs w:val="2"/>
              </w:rPr>
            </w:pPr>
          </w:p>
        </w:tc>
      </w:tr>
      <w:tr w:rsidR="009967D1" w14:paraId="016EE367" w14:textId="77777777">
        <w:trPr>
          <w:trHeight w:val="432"/>
          <w:jc w:val="center"/>
        </w:trPr>
        <w:tc>
          <w:tcPr>
            <w:tcW w:w="1150" w:type="dxa"/>
            <w:vAlign w:val="center"/>
          </w:tcPr>
          <w:p w14:paraId="02E92E23" w14:textId="77777777" w:rsidR="009967D1" w:rsidRDefault="0080134E">
            <w:pPr>
              <w:spacing w:line="400" w:lineRule="exact"/>
              <w:jc w:val="center"/>
              <w:rPr>
                <w:b/>
                <w:bCs/>
                <w:color w:val="000000" w:themeColor="text1"/>
                <w:sz w:val="24"/>
              </w:rPr>
            </w:pPr>
            <w:r>
              <w:rPr>
                <w:rFonts w:hint="eastAsia"/>
                <w:b/>
                <w:bCs/>
                <w:color w:val="000000" w:themeColor="text1"/>
                <w:sz w:val="24"/>
              </w:rPr>
              <w:t>T</w:t>
            </w:r>
          </w:p>
        </w:tc>
        <w:tc>
          <w:tcPr>
            <w:tcW w:w="2536" w:type="dxa"/>
            <w:gridSpan w:val="2"/>
            <w:vAlign w:val="center"/>
          </w:tcPr>
          <w:p w14:paraId="469BA39F" w14:textId="77777777" w:rsidR="009967D1" w:rsidRDefault="0080134E">
            <w:pPr>
              <w:spacing w:line="400" w:lineRule="exact"/>
              <w:jc w:val="center"/>
              <w:rPr>
                <w:b/>
                <w:bCs/>
                <w:color w:val="000000" w:themeColor="text1"/>
                <w:sz w:val="24"/>
              </w:rPr>
            </w:pPr>
            <w:r>
              <w:rPr>
                <w:rFonts w:hint="eastAsia"/>
                <w:b/>
                <w:bCs/>
                <w:color w:val="000000" w:themeColor="text1"/>
                <w:sz w:val="24"/>
              </w:rPr>
              <w:t>睾酮</w:t>
            </w:r>
          </w:p>
        </w:tc>
        <w:tc>
          <w:tcPr>
            <w:tcW w:w="1754" w:type="dxa"/>
            <w:gridSpan w:val="2"/>
            <w:vAlign w:val="center"/>
          </w:tcPr>
          <w:p>
            <w:r>
              <w:t>{{T_result}}</w:t>
            </w:r>
          </w:p>
        </w:tc>
        <w:tc>
          <w:tcPr>
            <w:tcW w:w="825" w:type="dxa"/>
            <w:gridSpan w:val="2"/>
            <w:vAlign w:val="center"/>
          </w:tcPr>
          <w:p>
            <w:r>
              <w:t>{{T_point}}</w:t>
            </w:r>
          </w:p>
        </w:tc>
        <w:tc>
          <w:tcPr>
            <w:tcW w:w="1980" w:type="dxa"/>
            <w:gridSpan w:val="2"/>
            <w:vAlign w:val="center"/>
          </w:tcPr>
          <w:p>
            <w:r>
              <w:t>{{T_refer}}</w:t>
            </w:r>
          </w:p>
        </w:tc>
        <w:tc>
          <w:tcPr>
            <w:tcW w:w="1408" w:type="dxa"/>
            <w:gridSpan w:val="2"/>
            <w:vAlign w:val="center"/>
          </w:tcPr>
          <w:p>
            <w:r>
              <w:t>{{T_unit}}</w:t>
            </w:r>
          </w:p>
        </w:tc>
      </w:tr>
      <w:tr w:rsidR="009967D1" w14:paraId="62EDECB2" w14:textId="77777777">
        <w:trPr>
          <w:trHeight w:val="1651"/>
          <w:jc w:val="center"/>
        </w:trPr>
        <w:tc>
          <w:tcPr>
            <w:tcW w:w="9653" w:type="dxa"/>
            <w:gridSpan w:val="11"/>
            <w:vAlign w:val="center"/>
          </w:tcPr>
          <w:p w14:paraId="1616A1C4" w14:textId="77777777" w:rsidR="009967D1" w:rsidRDefault="0080134E">
            <w:r>
              <w:rPr>
                <w:b/>
                <w:bCs/>
              </w:rPr>
              <w:t>Clinical significance:</w:t>
            </w:r>
            <w:r>
              <w:t xml:space="preserve"> In males, testosterone is mainly secreted by testicular interstitial (Leydig) cells. It is used to evaluate testicular function, diagnose male hypogonadism, and reflect androgen levels in relation to reproductive and metabolic health.Reference range: Males 9.9 - 27.8 nmol/L.</w:t>
            </w:r>
          </w:p>
          <w:p w14:paraId="7D488A48" w14:textId="77777777" w:rsidR="009967D1" w:rsidRDefault="0080134E">
            <w:r>
              <w:rPr>
                <w:b/>
                <w:bCs/>
              </w:rPr>
              <w:t>临床意义：</w:t>
            </w:r>
            <w:r>
              <w:t>男性体内睾酮主要由睾丸间质细胞分泌，评估睾丸功能、诊断男性性腺功能减退，反映雄激素水平与生殖、代谢健康</w:t>
            </w:r>
            <w:r>
              <w:rPr>
                <w:rFonts w:hint="eastAsia"/>
              </w:rPr>
              <w:t>。</w:t>
            </w:r>
            <w:r>
              <w:t>正常参考值：男性9.9-27.8nmol/L</w:t>
            </w:r>
            <w:r>
              <w:rPr>
                <w:rFonts w:hint="eastAsia"/>
              </w:rPr>
              <w:t>。</w:t>
            </w:r>
          </w:p>
        </w:tc>
      </w:tr>
    </w:tbl>
    <w:p w14:paraId="5C9E468C"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83FEAD7" w14:textId="77777777">
        <w:trPr>
          <w:trHeight w:hRule="exact" w:val="113"/>
          <w:jc w:val="center"/>
        </w:trPr>
        <w:tc>
          <w:tcPr>
            <w:tcW w:w="1560" w:type="dxa"/>
            <w:gridSpan w:val="2"/>
            <w:tcBorders>
              <w:top w:val="single" w:sz="4" w:space="0" w:color="auto"/>
            </w:tcBorders>
            <w:vAlign w:val="center"/>
          </w:tcPr>
          <w:p w14:paraId="3F05598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B49574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7A53B1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8D7EEF0"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EF65F62"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CB5DF30" w14:textId="77777777" w:rsidR="009967D1" w:rsidRDefault="009967D1">
            <w:pPr>
              <w:spacing w:line="300" w:lineRule="exact"/>
              <w:jc w:val="right"/>
              <w:rPr>
                <w:color w:val="323E4F" w:themeColor="text2" w:themeShade="BF"/>
                <w:sz w:val="2"/>
                <w:szCs w:val="2"/>
              </w:rPr>
            </w:pPr>
          </w:p>
        </w:tc>
      </w:tr>
      <w:tr w:rsidR="009967D1" w14:paraId="1E25A17A" w14:textId="77777777">
        <w:trPr>
          <w:trHeight w:val="432"/>
          <w:jc w:val="center"/>
        </w:trPr>
        <w:tc>
          <w:tcPr>
            <w:tcW w:w="1150" w:type="dxa"/>
            <w:vAlign w:val="center"/>
          </w:tcPr>
          <w:p w14:paraId="1720E8A4" w14:textId="77777777" w:rsidR="009967D1" w:rsidRPr="00E857FC" w:rsidRDefault="0080134E">
            <w:pPr>
              <w:spacing w:line="400" w:lineRule="exact"/>
              <w:jc w:val="center"/>
              <w:rPr>
                <w:b/>
                <w:bCs/>
                <w:color w:val="000000" w:themeColor="text1"/>
                <w:sz w:val="24"/>
              </w:rPr>
            </w:pPr>
            <w:r w:rsidRPr="00E857FC">
              <w:rPr>
                <w:rFonts w:hint="eastAsia"/>
                <w:b/>
                <w:bCs/>
                <w:color w:val="000000" w:themeColor="text1"/>
                <w:sz w:val="24"/>
              </w:rPr>
              <w:t>DHEAS</w:t>
            </w:r>
          </w:p>
        </w:tc>
        <w:tc>
          <w:tcPr>
            <w:tcW w:w="2536" w:type="dxa"/>
            <w:gridSpan w:val="2"/>
            <w:vAlign w:val="center"/>
          </w:tcPr>
          <w:p w14:paraId="64898756" w14:textId="77777777" w:rsidR="009967D1" w:rsidRPr="00E857FC" w:rsidRDefault="0080134E">
            <w:pPr>
              <w:spacing w:line="400" w:lineRule="exact"/>
              <w:jc w:val="center"/>
              <w:rPr>
                <w:b/>
                <w:bCs/>
                <w:color w:val="000000" w:themeColor="text1"/>
                <w:sz w:val="24"/>
              </w:rPr>
            </w:pPr>
            <w:r w:rsidRPr="00E857FC">
              <w:rPr>
                <w:rFonts w:hint="eastAsia"/>
                <w:b/>
                <w:bCs/>
                <w:color w:val="000000" w:themeColor="text1"/>
                <w:sz w:val="24"/>
              </w:rPr>
              <w:t>脱氢表雄酮硫酸酯</w:t>
            </w:r>
          </w:p>
        </w:tc>
        <w:tc>
          <w:tcPr>
            <w:tcW w:w="1754" w:type="dxa"/>
            <w:gridSpan w:val="2"/>
            <w:vAlign w:val="center"/>
          </w:tcPr>
          <w:p w14:paraId="0B19CB15" w14:textId="77777777" w:rsidR="009967D1" w:rsidRDefault="009967D1">
            <w:pPr>
              <w:spacing w:line="400" w:lineRule="exact"/>
              <w:jc w:val="center"/>
              <w:rPr>
                <w:b/>
                <w:bCs/>
                <w:color w:val="000000" w:themeColor="text1"/>
                <w:sz w:val="24"/>
              </w:rPr>
            </w:pPr>
          </w:p>
        </w:tc>
        <w:tc>
          <w:tcPr>
            <w:tcW w:w="825" w:type="dxa"/>
            <w:gridSpan w:val="2"/>
            <w:vAlign w:val="center"/>
          </w:tcPr>
          <w:p w14:paraId="77909A20" w14:textId="77777777" w:rsidR="009967D1" w:rsidRDefault="009967D1">
            <w:pPr>
              <w:spacing w:line="400" w:lineRule="exact"/>
              <w:jc w:val="center"/>
              <w:rPr>
                <w:b/>
                <w:bCs/>
                <w:color w:val="000000" w:themeColor="text1"/>
                <w:sz w:val="24"/>
              </w:rPr>
            </w:pPr>
          </w:p>
        </w:tc>
        <w:tc>
          <w:tcPr>
            <w:tcW w:w="1980" w:type="dxa"/>
            <w:gridSpan w:val="2"/>
            <w:vAlign w:val="center"/>
          </w:tcPr>
          <w:p w14:paraId="0175B1FE" w14:textId="77777777" w:rsidR="009967D1" w:rsidRDefault="009967D1">
            <w:pPr>
              <w:spacing w:line="400" w:lineRule="exact"/>
              <w:jc w:val="center"/>
              <w:rPr>
                <w:b/>
                <w:bCs/>
                <w:color w:val="000000" w:themeColor="text1"/>
                <w:sz w:val="24"/>
              </w:rPr>
            </w:pPr>
          </w:p>
        </w:tc>
        <w:tc>
          <w:tcPr>
            <w:tcW w:w="1408" w:type="dxa"/>
            <w:gridSpan w:val="2"/>
            <w:vAlign w:val="center"/>
          </w:tcPr>
          <w:p w14:paraId="1B3A1433" w14:textId="77777777" w:rsidR="009967D1" w:rsidRDefault="009967D1">
            <w:pPr>
              <w:spacing w:line="400" w:lineRule="exact"/>
              <w:jc w:val="center"/>
              <w:rPr>
                <w:b/>
                <w:bCs/>
                <w:color w:val="000000" w:themeColor="text1"/>
                <w:sz w:val="24"/>
              </w:rPr>
            </w:pPr>
          </w:p>
        </w:tc>
      </w:tr>
      <w:tr w:rsidR="009967D1" w14:paraId="231534D4" w14:textId="77777777">
        <w:trPr>
          <w:trHeight w:val="1651"/>
          <w:jc w:val="center"/>
        </w:trPr>
        <w:tc>
          <w:tcPr>
            <w:tcW w:w="9653" w:type="dxa"/>
            <w:gridSpan w:val="11"/>
            <w:vAlign w:val="center"/>
          </w:tcPr>
          <w:p w14:paraId="18CAB985" w14:textId="68813397" w:rsidR="006D1501" w:rsidRDefault="006D1501" w:rsidP="006D1501">
            <w:r>
              <w:rPr>
                <w:b/>
                <w:bCs/>
              </w:rPr>
              <w:t>Clinical significance:</w:t>
            </w:r>
            <w:r>
              <w:t xml:space="preserve"> </w:t>
            </w:r>
            <w:r w:rsidRPr="006D1501">
              <w:t>In males, DHEAS is secreted by the adrenal cortex. It is used to evaluate adrenal cortical function, assist in diagnosing adrenal diseases, and reflect androgen precursor levels.</w:t>
            </w:r>
            <w:r>
              <w:t xml:space="preserve"> </w:t>
            </w:r>
            <w:r w:rsidRPr="006D1501">
              <w:t>Reference range: Males 100 - 330 μg/dl (age-dependent variations).</w:t>
            </w:r>
          </w:p>
          <w:p w14:paraId="24B08619" w14:textId="047EE297" w:rsidR="009967D1" w:rsidRDefault="006D1501" w:rsidP="006D1501">
            <w:r>
              <w:rPr>
                <w:b/>
                <w:bCs/>
              </w:rPr>
              <w:t>临床意义：</w:t>
            </w:r>
            <w:r w:rsidRPr="006D1501">
              <w:t>男性体内 DHEAS 由肾上腺皮质分泌，评估肾上腺皮质功能，辅助诊断肾上腺疾病，反映雄激素前体水平</w:t>
            </w:r>
            <w:r>
              <w:rPr>
                <w:rFonts w:hint="eastAsia"/>
              </w:rPr>
              <w:t>。</w:t>
            </w:r>
            <w:r w:rsidRPr="006D1501">
              <w:t>正常参考值：男性 100 - 330 μg/dl（不同年龄段有差异）。</w:t>
            </w:r>
          </w:p>
        </w:tc>
      </w:tr>
    </w:tbl>
    <w:p w14:paraId="7F986CA3" w14:textId="77777777" w:rsidR="009967D1" w:rsidRDefault="009967D1" w:rsidP="004619DA">
      <w:pPr>
        <w:pStyle w:val="0"/>
      </w:pPr>
    </w:p>
    <w:p w14:paraId="158C9394"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7E58979" w14:textId="77777777">
        <w:trPr>
          <w:trHeight w:hRule="exact" w:val="113"/>
          <w:jc w:val="center"/>
        </w:trPr>
        <w:tc>
          <w:tcPr>
            <w:tcW w:w="1560" w:type="dxa"/>
            <w:gridSpan w:val="2"/>
            <w:tcBorders>
              <w:top w:val="single" w:sz="4" w:space="0" w:color="auto"/>
            </w:tcBorders>
            <w:vAlign w:val="center"/>
          </w:tcPr>
          <w:p w14:paraId="4D065547"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7026DB2"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337048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0B5981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1989D8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6DFEF20" w14:textId="77777777" w:rsidR="009967D1" w:rsidRDefault="009967D1">
            <w:pPr>
              <w:spacing w:line="300" w:lineRule="exact"/>
              <w:jc w:val="right"/>
              <w:rPr>
                <w:color w:val="323E4F" w:themeColor="text2" w:themeShade="BF"/>
                <w:sz w:val="2"/>
                <w:szCs w:val="2"/>
              </w:rPr>
            </w:pPr>
          </w:p>
        </w:tc>
      </w:tr>
      <w:tr w:rsidR="009967D1" w14:paraId="1F5DCCB7" w14:textId="77777777">
        <w:trPr>
          <w:trHeight w:val="432"/>
          <w:jc w:val="center"/>
        </w:trPr>
        <w:tc>
          <w:tcPr>
            <w:tcW w:w="1150" w:type="dxa"/>
            <w:vAlign w:val="center"/>
          </w:tcPr>
          <w:p w14:paraId="6BD7CD02" w14:textId="77777777" w:rsidR="009967D1" w:rsidRDefault="0080134E">
            <w:pPr>
              <w:spacing w:line="400" w:lineRule="exact"/>
              <w:jc w:val="center"/>
              <w:rPr>
                <w:b/>
                <w:bCs/>
                <w:color w:val="000000" w:themeColor="text1"/>
                <w:sz w:val="24"/>
              </w:rPr>
            </w:pPr>
            <w:r>
              <w:rPr>
                <w:rFonts w:hint="eastAsia"/>
                <w:b/>
                <w:bCs/>
                <w:color w:val="000000" w:themeColor="text1"/>
                <w:sz w:val="24"/>
              </w:rPr>
              <w:t>IGF1</w:t>
            </w:r>
          </w:p>
        </w:tc>
        <w:tc>
          <w:tcPr>
            <w:tcW w:w="2536" w:type="dxa"/>
            <w:gridSpan w:val="2"/>
            <w:vAlign w:val="center"/>
          </w:tcPr>
          <w:p w14:paraId="50E0AEB3"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胰岛素样生长因子 1 </w:t>
            </w:r>
          </w:p>
        </w:tc>
        <w:tc>
          <w:tcPr>
            <w:tcW w:w="1754" w:type="dxa"/>
            <w:gridSpan w:val="2"/>
            <w:vAlign w:val="center"/>
          </w:tcPr>
          <w:p w14:paraId="569AF54C" w14:textId="77777777" w:rsidR="009967D1" w:rsidRDefault="009967D1">
            <w:pPr>
              <w:spacing w:line="400" w:lineRule="exact"/>
              <w:jc w:val="center"/>
              <w:rPr>
                <w:b/>
                <w:bCs/>
                <w:color w:val="000000" w:themeColor="text1"/>
                <w:sz w:val="24"/>
              </w:rPr>
            </w:pPr>
          </w:p>
        </w:tc>
        <w:tc>
          <w:tcPr>
            <w:tcW w:w="825" w:type="dxa"/>
            <w:gridSpan w:val="2"/>
            <w:vAlign w:val="center"/>
          </w:tcPr>
          <w:p w14:paraId="11C15082" w14:textId="77777777" w:rsidR="009967D1" w:rsidRDefault="009967D1">
            <w:pPr>
              <w:spacing w:line="400" w:lineRule="exact"/>
              <w:jc w:val="center"/>
              <w:rPr>
                <w:b/>
                <w:bCs/>
                <w:color w:val="000000" w:themeColor="text1"/>
                <w:sz w:val="24"/>
              </w:rPr>
            </w:pPr>
          </w:p>
        </w:tc>
        <w:tc>
          <w:tcPr>
            <w:tcW w:w="1980" w:type="dxa"/>
            <w:gridSpan w:val="2"/>
            <w:vAlign w:val="center"/>
          </w:tcPr>
          <w:p w14:paraId="403A5448" w14:textId="77777777" w:rsidR="009967D1" w:rsidRDefault="009967D1">
            <w:pPr>
              <w:spacing w:line="400" w:lineRule="exact"/>
              <w:jc w:val="center"/>
              <w:rPr>
                <w:b/>
                <w:bCs/>
                <w:color w:val="000000" w:themeColor="text1"/>
                <w:sz w:val="24"/>
              </w:rPr>
            </w:pPr>
          </w:p>
        </w:tc>
        <w:tc>
          <w:tcPr>
            <w:tcW w:w="1408" w:type="dxa"/>
            <w:gridSpan w:val="2"/>
            <w:vAlign w:val="center"/>
          </w:tcPr>
          <w:p w14:paraId="18C02BD2" w14:textId="77777777" w:rsidR="009967D1" w:rsidRDefault="009967D1">
            <w:pPr>
              <w:spacing w:line="400" w:lineRule="exact"/>
              <w:jc w:val="center"/>
              <w:rPr>
                <w:b/>
                <w:bCs/>
                <w:color w:val="000000" w:themeColor="text1"/>
                <w:sz w:val="24"/>
              </w:rPr>
            </w:pPr>
          </w:p>
        </w:tc>
      </w:tr>
      <w:tr w:rsidR="009967D1" w14:paraId="5EB776C6" w14:textId="77777777">
        <w:trPr>
          <w:trHeight w:val="1651"/>
          <w:jc w:val="center"/>
        </w:trPr>
        <w:tc>
          <w:tcPr>
            <w:tcW w:w="9653" w:type="dxa"/>
            <w:gridSpan w:val="11"/>
            <w:vAlign w:val="center"/>
          </w:tcPr>
          <w:p w14:paraId="6C834F83" w14:textId="77777777" w:rsidR="009967D1" w:rsidRDefault="0080134E">
            <w:r>
              <w:rPr>
                <w:b/>
                <w:bCs/>
              </w:rPr>
              <w:t>Clinical significance:</w:t>
            </w:r>
            <w:r>
              <w:t xml:space="preserve"> (Same as in females, with focus on males) Reflects growth hormone (GH) activity, used to evaluate growth and development, diagnose acromegaly, and growth hormone deficiency.Reference range: Adult males 70 - 200 ng/ml.</w:t>
            </w:r>
          </w:p>
          <w:p w14:paraId="048E35ED" w14:textId="77777777" w:rsidR="009967D1" w:rsidRDefault="0080134E">
            <w:r>
              <w:rPr>
                <w:b/>
                <w:bCs/>
              </w:rPr>
              <w:t>临床意义：</w:t>
            </w:r>
            <w:r>
              <w:t>（同女性IGF1，侧重男性</w:t>
            </w:r>
            <w:r>
              <w:rPr>
                <w:rFonts w:hint="eastAsia"/>
              </w:rPr>
              <w:t>）</w:t>
            </w:r>
            <w:r>
              <w:t>反映生长激素（GH）功能，评估生长发育、肢端肥大症，诊断生长激素缺乏症</w:t>
            </w:r>
            <w:r>
              <w:rPr>
                <w:rFonts w:hint="eastAsia"/>
              </w:rPr>
              <w:t>。</w:t>
            </w:r>
            <w:r>
              <w:t>正常参考值：男性成人70-200ng/ml</w:t>
            </w:r>
            <w:r>
              <w:rPr>
                <w:rFonts w:hint="eastAsia"/>
              </w:rPr>
              <w:t>。</w:t>
            </w:r>
          </w:p>
        </w:tc>
      </w:tr>
    </w:tbl>
    <w:p w14:paraId="3F54742E" w14:textId="77777777" w:rsidR="009967D1" w:rsidRDefault="009967D1" w:rsidP="004619DA">
      <w:pPr>
        <w:pStyle w:val="0"/>
      </w:pPr>
    </w:p>
    <w:p w14:paraId="25F9D1E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EE22869" w14:textId="77777777">
        <w:trPr>
          <w:trHeight w:hRule="exact" w:val="113"/>
          <w:jc w:val="center"/>
        </w:trPr>
        <w:tc>
          <w:tcPr>
            <w:tcW w:w="1560" w:type="dxa"/>
            <w:gridSpan w:val="2"/>
            <w:tcBorders>
              <w:top w:val="single" w:sz="4" w:space="0" w:color="auto"/>
            </w:tcBorders>
            <w:vAlign w:val="center"/>
          </w:tcPr>
          <w:p w14:paraId="7BF6E99A"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A6CB2D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716436A"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C251AC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680A233"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FDB65EE" w14:textId="77777777" w:rsidR="009967D1" w:rsidRDefault="009967D1">
            <w:pPr>
              <w:spacing w:line="300" w:lineRule="exact"/>
              <w:jc w:val="right"/>
              <w:rPr>
                <w:color w:val="323E4F" w:themeColor="text2" w:themeShade="BF"/>
                <w:sz w:val="2"/>
                <w:szCs w:val="2"/>
              </w:rPr>
            </w:pPr>
          </w:p>
        </w:tc>
      </w:tr>
      <w:tr w:rsidR="009967D1" w14:paraId="7DE92105" w14:textId="77777777">
        <w:trPr>
          <w:trHeight w:val="432"/>
          <w:jc w:val="center"/>
        </w:trPr>
        <w:tc>
          <w:tcPr>
            <w:tcW w:w="1150" w:type="dxa"/>
            <w:vAlign w:val="center"/>
          </w:tcPr>
          <w:p w14:paraId="253532E4" w14:textId="77777777" w:rsidR="009967D1" w:rsidRDefault="0080134E">
            <w:pPr>
              <w:spacing w:line="400" w:lineRule="exact"/>
              <w:jc w:val="center"/>
              <w:rPr>
                <w:b/>
                <w:bCs/>
                <w:color w:val="000000" w:themeColor="text1"/>
                <w:sz w:val="24"/>
              </w:rPr>
            </w:pPr>
            <w:r>
              <w:rPr>
                <w:rFonts w:hint="eastAsia"/>
                <w:b/>
                <w:bCs/>
                <w:color w:val="000000" w:themeColor="text1"/>
                <w:sz w:val="24"/>
              </w:rPr>
              <w:t>PROG</w:t>
            </w:r>
          </w:p>
        </w:tc>
        <w:tc>
          <w:tcPr>
            <w:tcW w:w="2536" w:type="dxa"/>
            <w:gridSpan w:val="2"/>
            <w:vAlign w:val="center"/>
          </w:tcPr>
          <w:p w14:paraId="04EE1A24" w14:textId="77777777" w:rsidR="009967D1" w:rsidRDefault="0080134E">
            <w:pPr>
              <w:spacing w:line="400" w:lineRule="exact"/>
              <w:jc w:val="center"/>
              <w:rPr>
                <w:b/>
                <w:bCs/>
                <w:color w:val="000000" w:themeColor="text1"/>
                <w:sz w:val="24"/>
              </w:rPr>
            </w:pPr>
            <w:r>
              <w:rPr>
                <w:rFonts w:hint="eastAsia"/>
                <w:b/>
                <w:bCs/>
                <w:color w:val="000000" w:themeColor="text1"/>
                <w:sz w:val="24"/>
              </w:rPr>
              <w:t>孕酮</w:t>
            </w:r>
          </w:p>
        </w:tc>
        <w:tc>
          <w:tcPr>
            <w:tcW w:w="1754" w:type="dxa"/>
            <w:gridSpan w:val="2"/>
            <w:vAlign w:val="center"/>
          </w:tcPr>
          <w:p>
            <w:r>
              <w:t>{{PROG_result}}</w:t>
            </w:r>
          </w:p>
        </w:tc>
        <w:tc>
          <w:tcPr>
            <w:tcW w:w="825" w:type="dxa"/>
            <w:gridSpan w:val="2"/>
            <w:vAlign w:val="center"/>
          </w:tcPr>
          <w:p>
            <w:r>
              <w:t>{{PROG_point}}</w:t>
            </w:r>
          </w:p>
        </w:tc>
        <w:tc>
          <w:tcPr>
            <w:tcW w:w="1980" w:type="dxa"/>
            <w:gridSpan w:val="2"/>
            <w:vAlign w:val="center"/>
          </w:tcPr>
          <w:p>
            <w:r>
              <w:t>{{PROG_refer}}</w:t>
            </w:r>
          </w:p>
        </w:tc>
        <w:tc>
          <w:tcPr>
            <w:tcW w:w="1408" w:type="dxa"/>
            <w:gridSpan w:val="2"/>
            <w:vAlign w:val="center"/>
          </w:tcPr>
          <w:p>
            <w:r>
              <w:t>{{PROG_unit}}</w:t>
            </w:r>
          </w:p>
        </w:tc>
      </w:tr>
      <w:tr w:rsidR="009967D1" w14:paraId="5D87C1A3" w14:textId="77777777">
        <w:trPr>
          <w:trHeight w:val="1651"/>
          <w:jc w:val="center"/>
        </w:trPr>
        <w:tc>
          <w:tcPr>
            <w:tcW w:w="9653" w:type="dxa"/>
            <w:gridSpan w:val="11"/>
            <w:vAlign w:val="center"/>
          </w:tcPr>
          <w:p w14:paraId="73A4BC7E" w14:textId="77777777" w:rsidR="009967D1" w:rsidRDefault="0080134E">
            <w:r>
              <w:rPr>
                <w:b/>
                <w:bCs/>
              </w:rPr>
              <w:t>Clinical significance:</w:t>
            </w:r>
            <w:r>
              <w:t xml:space="preserve"> In males, progesterone is secreted by the testes and adrenal glands. It helps evaluate adrenal function, reproductive endocrine balance, and aids in diagnosing male reproductive disorders.Reference range: Males 0.13 - 2.57 nmol/L.</w:t>
            </w:r>
          </w:p>
          <w:p w14:paraId="11E01B66" w14:textId="77777777" w:rsidR="009967D1" w:rsidRDefault="0080134E">
            <w:r>
              <w:rPr>
                <w:b/>
                <w:bCs/>
              </w:rPr>
              <w:t>临床意义：</w:t>
            </w:r>
            <w:r>
              <w:t>男性孕酮由睾丸及肾上腺分泌，评估肾上腺功能、生殖内分泌平衡，辅助诊断男性生殖疾病</w:t>
            </w:r>
            <w:r>
              <w:rPr>
                <w:rFonts w:hint="eastAsia"/>
              </w:rPr>
              <w:t>。</w:t>
            </w:r>
            <w:r>
              <w:t>正常参考值：男性0.13-2.57nmol/L</w:t>
            </w:r>
            <w:r>
              <w:rPr>
                <w:rFonts w:hint="eastAsia"/>
              </w:rPr>
              <w:t>。</w:t>
            </w:r>
          </w:p>
        </w:tc>
      </w:tr>
    </w:tbl>
    <w:p w14:paraId="3C1C8326" w14:textId="77777777" w:rsidR="009967D1" w:rsidRDefault="009967D1" w:rsidP="004619DA">
      <w:pPr>
        <w:pStyle w:val="0"/>
      </w:pPr>
    </w:p>
    <w:p w14:paraId="2CE02917"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9C80754" w14:textId="77777777">
        <w:trPr>
          <w:trHeight w:hRule="exact" w:val="113"/>
          <w:jc w:val="center"/>
        </w:trPr>
        <w:tc>
          <w:tcPr>
            <w:tcW w:w="1560" w:type="dxa"/>
            <w:gridSpan w:val="2"/>
            <w:tcBorders>
              <w:top w:val="single" w:sz="4" w:space="0" w:color="auto"/>
            </w:tcBorders>
            <w:vAlign w:val="center"/>
          </w:tcPr>
          <w:p w14:paraId="2E951A7E"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9262406"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740C24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A695423"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5CDADB6"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E8E07A3" w14:textId="77777777" w:rsidR="009967D1" w:rsidRDefault="009967D1">
            <w:pPr>
              <w:spacing w:line="300" w:lineRule="exact"/>
              <w:jc w:val="right"/>
              <w:rPr>
                <w:color w:val="323E4F" w:themeColor="text2" w:themeShade="BF"/>
                <w:sz w:val="2"/>
                <w:szCs w:val="2"/>
              </w:rPr>
            </w:pPr>
          </w:p>
        </w:tc>
      </w:tr>
      <w:tr w:rsidR="009967D1" w14:paraId="31FC4F16" w14:textId="77777777">
        <w:trPr>
          <w:trHeight w:val="432"/>
          <w:jc w:val="center"/>
        </w:trPr>
        <w:tc>
          <w:tcPr>
            <w:tcW w:w="1150" w:type="dxa"/>
            <w:vAlign w:val="center"/>
          </w:tcPr>
          <w:p w14:paraId="79CDF8CE" w14:textId="77777777" w:rsidR="009967D1" w:rsidRDefault="0080134E">
            <w:pPr>
              <w:spacing w:line="400" w:lineRule="exact"/>
              <w:jc w:val="center"/>
              <w:rPr>
                <w:b/>
                <w:bCs/>
                <w:color w:val="000000" w:themeColor="text1"/>
                <w:sz w:val="24"/>
              </w:rPr>
            </w:pPr>
            <w:r>
              <w:rPr>
                <w:rFonts w:hint="eastAsia"/>
                <w:b/>
                <w:bCs/>
                <w:color w:val="000000" w:themeColor="text1"/>
                <w:sz w:val="24"/>
              </w:rPr>
              <w:t>FSH</w:t>
            </w:r>
          </w:p>
        </w:tc>
        <w:tc>
          <w:tcPr>
            <w:tcW w:w="2536" w:type="dxa"/>
            <w:gridSpan w:val="2"/>
            <w:vAlign w:val="center"/>
          </w:tcPr>
          <w:p w14:paraId="6DCEE820" w14:textId="77777777" w:rsidR="009967D1" w:rsidRDefault="0080134E">
            <w:pPr>
              <w:spacing w:line="400" w:lineRule="exact"/>
              <w:jc w:val="center"/>
              <w:rPr>
                <w:b/>
                <w:bCs/>
                <w:color w:val="000000" w:themeColor="text1"/>
                <w:sz w:val="24"/>
              </w:rPr>
            </w:pPr>
            <w:r>
              <w:rPr>
                <w:rFonts w:hint="eastAsia"/>
                <w:b/>
                <w:bCs/>
                <w:color w:val="000000" w:themeColor="text1"/>
                <w:sz w:val="24"/>
              </w:rPr>
              <w:t>促卵泡激素</w:t>
            </w:r>
          </w:p>
        </w:tc>
        <w:tc>
          <w:tcPr>
            <w:tcW w:w="1754" w:type="dxa"/>
            <w:gridSpan w:val="2"/>
            <w:vAlign w:val="center"/>
          </w:tcPr>
          <w:p>
            <w:r>
              <w:t>{{FSH_result}}</w:t>
            </w:r>
          </w:p>
        </w:tc>
        <w:tc>
          <w:tcPr>
            <w:tcW w:w="825" w:type="dxa"/>
            <w:gridSpan w:val="2"/>
            <w:vAlign w:val="center"/>
          </w:tcPr>
          <w:p>
            <w:r>
              <w:t>{{FSH_point}}</w:t>
            </w:r>
          </w:p>
        </w:tc>
        <w:tc>
          <w:tcPr>
            <w:tcW w:w="1980" w:type="dxa"/>
            <w:gridSpan w:val="2"/>
            <w:vAlign w:val="center"/>
          </w:tcPr>
          <w:p>
            <w:r>
              <w:t>{{FSH_refer}}</w:t>
            </w:r>
          </w:p>
        </w:tc>
        <w:tc>
          <w:tcPr>
            <w:tcW w:w="1408" w:type="dxa"/>
            <w:gridSpan w:val="2"/>
            <w:vAlign w:val="center"/>
          </w:tcPr>
          <w:p>
            <w:r>
              <w:t>{{FSH_unit}}</w:t>
            </w:r>
          </w:p>
        </w:tc>
      </w:tr>
      <w:tr w:rsidR="009967D1" w14:paraId="40FCB01A" w14:textId="77777777">
        <w:trPr>
          <w:trHeight w:val="1651"/>
          <w:jc w:val="center"/>
        </w:trPr>
        <w:tc>
          <w:tcPr>
            <w:tcW w:w="9653" w:type="dxa"/>
            <w:gridSpan w:val="11"/>
            <w:vAlign w:val="center"/>
          </w:tcPr>
          <w:p w14:paraId="3772C0DB" w14:textId="77777777" w:rsidR="009967D1" w:rsidRDefault="0080134E">
            <w:r>
              <w:rPr>
                <w:b/>
                <w:bCs/>
              </w:rPr>
              <w:t>Clinical significance:</w:t>
            </w:r>
            <w:r>
              <w:t xml:space="preserve"> In males, FSH is secreted by the pituitary gland. It stimulates the development of seminiferous epithelium and spermatogenesis, helps evaluate testicular spermatogenic function, and diagnose male infertility and gonadal disorders.Reference range: Males 1.27 - 19.26 mIU/ml</w:t>
            </w:r>
          </w:p>
          <w:p w14:paraId="485D5E6F" w14:textId="77777777" w:rsidR="009967D1" w:rsidRDefault="0080134E">
            <w:r>
              <w:rPr>
                <w:b/>
                <w:bCs/>
              </w:rPr>
              <w:t>临床意义：</w:t>
            </w:r>
            <w:r>
              <w:t>男性FSH由垂体分泌，刺激睾丸生精上皮发育、精子生成，评估睾丸生精功能，诊断男性不育、性腺疾病</w:t>
            </w:r>
            <w:r>
              <w:rPr>
                <w:rFonts w:hint="eastAsia"/>
              </w:rPr>
              <w:t>。</w:t>
            </w:r>
            <w:r>
              <w:t>正常参考值：男性1.27-19.26mIU/ml</w:t>
            </w:r>
            <w:r>
              <w:rPr>
                <w:rFonts w:hint="eastAsia"/>
              </w:rPr>
              <w:t>。</w:t>
            </w:r>
          </w:p>
        </w:tc>
      </w:tr>
    </w:tbl>
    <w:p w14:paraId="38FC9EE0" w14:textId="77777777" w:rsidR="009967D1" w:rsidRDefault="009967D1" w:rsidP="004619DA">
      <w:pPr>
        <w:pStyle w:val="0"/>
      </w:pPr>
    </w:p>
    <w:p w14:paraId="4E67D183"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2B02B41" w14:textId="77777777">
        <w:trPr>
          <w:trHeight w:hRule="exact" w:val="113"/>
          <w:jc w:val="center"/>
        </w:trPr>
        <w:tc>
          <w:tcPr>
            <w:tcW w:w="1560" w:type="dxa"/>
            <w:gridSpan w:val="2"/>
            <w:tcBorders>
              <w:top w:val="single" w:sz="4" w:space="0" w:color="auto"/>
            </w:tcBorders>
            <w:vAlign w:val="center"/>
          </w:tcPr>
          <w:p w14:paraId="7FDD7C2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EF0139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B2D8A90"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D297B05"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B615E4F"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16BE155" w14:textId="77777777" w:rsidR="009967D1" w:rsidRDefault="009967D1">
            <w:pPr>
              <w:spacing w:line="300" w:lineRule="exact"/>
              <w:jc w:val="right"/>
              <w:rPr>
                <w:color w:val="323E4F" w:themeColor="text2" w:themeShade="BF"/>
                <w:sz w:val="2"/>
                <w:szCs w:val="2"/>
              </w:rPr>
            </w:pPr>
          </w:p>
        </w:tc>
      </w:tr>
      <w:tr w:rsidR="009967D1" w14:paraId="67A12804" w14:textId="77777777">
        <w:trPr>
          <w:trHeight w:val="432"/>
          <w:jc w:val="center"/>
        </w:trPr>
        <w:tc>
          <w:tcPr>
            <w:tcW w:w="1150" w:type="dxa"/>
            <w:vAlign w:val="center"/>
          </w:tcPr>
          <w:p w14:paraId="6B785159" w14:textId="77777777" w:rsidR="009967D1" w:rsidRDefault="0080134E">
            <w:pPr>
              <w:spacing w:line="400" w:lineRule="exact"/>
              <w:jc w:val="center"/>
              <w:rPr>
                <w:b/>
                <w:bCs/>
                <w:color w:val="000000" w:themeColor="text1"/>
                <w:sz w:val="24"/>
              </w:rPr>
            </w:pPr>
            <w:r>
              <w:rPr>
                <w:rFonts w:hint="eastAsia"/>
                <w:b/>
                <w:bCs/>
                <w:color w:val="000000" w:themeColor="text1"/>
                <w:sz w:val="24"/>
              </w:rPr>
              <w:t>LH</w:t>
            </w:r>
          </w:p>
        </w:tc>
        <w:tc>
          <w:tcPr>
            <w:tcW w:w="2536" w:type="dxa"/>
            <w:gridSpan w:val="2"/>
            <w:vAlign w:val="center"/>
          </w:tcPr>
          <w:p w14:paraId="01D5C363" w14:textId="77777777" w:rsidR="009967D1" w:rsidRDefault="0080134E">
            <w:pPr>
              <w:spacing w:line="400" w:lineRule="exact"/>
              <w:jc w:val="center"/>
              <w:rPr>
                <w:b/>
                <w:bCs/>
                <w:color w:val="000000" w:themeColor="text1"/>
                <w:sz w:val="24"/>
              </w:rPr>
            </w:pPr>
            <w:r>
              <w:rPr>
                <w:rFonts w:hint="eastAsia"/>
                <w:b/>
                <w:bCs/>
                <w:color w:val="000000" w:themeColor="text1"/>
                <w:sz w:val="24"/>
              </w:rPr>
              <w:t>促黄体生成素</w:t>
            </w:r>
          </w:p>
        </w:tc>
        <w:tc>
          <w:tcPr>
            <w:tcW w:w="1754" w:type="dxa"/>
            <w:gridSpan w:val="2"/>
            <w:vAlign w:val="center"/>
          </w:tcPr>
          <w:p>
            <w:r>
              <w:t>{{LH_result}}</w:t>
            </w:r>
          </w:p>
        </w:tc>
        <w:tc>
          <w:tcPr>
            <w:tcW w:w="825" w:type="dxa"/>
            <w:gridSpan w:val="2"/>
            <w:vAlign w:val="center"/>
          </w:tcPr>
          <w:p>
            <w:r>
              <w:t>{{LH_point}}</w:t>
            </w:r>
          </w:p>
        </w:tc>
        <w:tc>
          <w:tcPr>
            <w:tcW w:w="1980" w:type="dxa"/>
            <w:gridSpan w:val="2"/>
            <w:vAlign w:val="center"/>
          </w:tcPr>
          <w:p>
            <w:r>
              <w:t>{{LH_refer}}</w:t>
            </w:r>
          </w:p>
        </w:tc>
        <w:tc>
          <w:tcPr>
            <w:tcW w:w="1408" w:type="dxa"/>
            <w:gridSpan w:val="2"/>
            <w:vAlign w:val="center"/>
          </w:tcPr>
          <w:p>
            <w:r>
              <w:t>{{LH_unit}}</w:t>
            </w:r>
          </w:p>
        </w:tc>
      </w:tr>
      <w:tr w:rsidR="009967D1" w14:paraId="152A2F2C" w14:textId="77777777">
        <w:trPr>
          <w:trHeight w:val="1651"/>
          <w:jc w:val="center"/>
        </w:trPr>
        <w:tc>
          <w:tcPr>
            <w:tcW w:w="9653" w:type="dxa"/>
            <w:gridSpan w:val="11"/>
            <w:vAlign w:val="center"/>
          </w:tcPr>
          <w:p w14:paraId="2C891F56" w14:textId="77777777" w:rsidR="009967D1" w:rsidRDefault="0080134E">
            <w:r>
              <w:rPr>
                <w:b/>
                <w:bCs/>
              </w:rPr>
              <w:t>Clinical significance:</w:t>
            </w:r>
            <w:r>
              <w:t xml:space="preserve"> In males, LH is secreted by the pituitary gland. It stimulates Leydig cells in the testes to secrete testosterone, helps evaluate testicular endocrine function, and diagnose male gonadal disorders.Reference range: Males 1.24 - 8.62 mIU/ml.</w:t>
            </w:r>
          </w:p>
          <w:p w14:paraId="2383DFB7" w14:textId="77777777" w:rsidR="009967D1" w:rsidRDefault="0080134E">
            <w:r>
              <w:rPr>
                <w:b/>
                <w:bCs/>
              </w:rPr>
              <w:t>临床意义：</w:t>
            </w:r>
            <w:r>
              <w:t>男性LH由垂体分泌，刺激睾丸间质细胞分泌睾酮，评估睾丸内分泌功能，诊断男性性腺疾病</w:t>
            </w:r>
            <w:r>
              <w:rPr>
                <w:rFonts w:hint="eastAsia"/>
              </w:rPr>
              <w:t>。</w:t>
            </w:r>
            <w:r>
              <w:t>正常参考值：男性1.24-8.62mIU/ml</w:t>
            </w:r>
            <w:r>
              <w:rPr>
                <w:rFonts w:hint="eastAsia"/>
              </w:rPr>
              <w:t>。</w:t>
            </w:r>
          </w:p>
        </w:tc>
      </w:tr>
    </w:tbl>
    <w:p w14:paraId="0E606D99" w14:textId="77777777" w:rsidR="009967D1" w:rsidRDefault="009967D1" w:rsidP="004619DA">
      <w:pPr>
        <w:pStyle w:val="0"/>
      </w:pPr>
    </w:p>
    <w:p w14:paraId="24594C6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2AD0FCC" w14:textId="77777777">
        <w:trPr>
          <w:trHeight w:hRule="exact" w:val="113"/>
          <w:jc w:val="center"/>
        </w:trPr>
        <w:tc>
          <w:tcPr>
            <w:tcW w:w="1560" w:type="dxa"/>
            <w:gridSpan w:val="2"/>
            <w:tcBorders>
              <w:top w:val="single" w:sz="4" w:space="0" w:color="auto"/>
            </w:tcBorders>
            <w:vAlign w:val="center"/>
          </w:tcPr>
          <w:p w14:paraId="10D56370"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5548CD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7ACD79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CD6DB5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9A9C0F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05CC98E" w14:textId="77777777" w:rsidR="009967D1" w:rsidRDefault="009967D1">
            <w:pPr>
              <w:spacing w:line="300" w:lineRule="exact"/>
              <w:jc w:val="right"/>
              <w:rPr>
                <w:color w:val="323E4F" w:themeColor="text2" w:themeShade="BF"/>
                <w:sz w:val="2"/>
                <w:szCs w:val="2"/>
              </w:rPr>
            </w:pPr>
          </w:p>
        </w:tc>
      </w:tr>
      <w:tr w:rsidR="009967D1" w14:paraId="4001F893" w14:textId="77777777">
        <w:trPr>
          <w:trHeight w:val="432"/>
          <w:jc w:val="center"/>
        </w:trPr>
        <w:tc>
          <w:tcPr>
            <w:tcW w:w="1150" w:type="dxa"/>
            <w:vAlign w:val="center"/>
          </w:tcPr>
          <w:p w14:paraId="6443DC53" w14:textId="77777777" w:rsidR="009967D1" w:rsidRDefault="0080134E">
            <w:pPr>
              <w:spacing w:line="400" w:lineRule="exact"/>
              <w:jc w:val="center"/>
              <w:rPr>
                <w:b/>
                <w:bCs/>
                <w:color w:val="000000" w:themeColor="text1"/>
                <w:sz w:val="24"/>
              </w:rPr>
            </w:pPr>
            <w:r>
              <w:rPr>
                <w:rFonts w:hint="eastAsia"/>
                <w:b/>
                <w:bCs/>
                <w:color w:val="000000" w:themeColor="text1"/>
                <w:sz w:val="24"/>
              </w:rPr>
              <w:t>PRL</w:t>
            </w:r>
          </w:p>
        </w:tc>
        <w:tc>
          <w:tcPr>
            <w:tcW w:w="2536" w:type="dxa"/>
            <w:gridSpan w:val="2"/>
            <w:vAlign w:val="center"/>
          </w:tcPr>
          <w:p w14:paraId="1A68467A" w14:textId="77777777" w:rsidR="009967D1" w:rsidRDefault="0080134E">
            <w:pPr>
              <w:spacing w:line="400" w:lineRule="exact"/>
              <w:jc w:val="center"/>
              <w:rPr>
                <w:b/>
                <w:bCs/>
                <w:color w:val="000000" w:themeColor="text1"/>
                <w:sz w:val="24"/>
              </w:rPr>
            </w:pPr>
            <w:r>
              <w:rPr>
                <w:rFonts w:hint="eastAsia"/>
                <w:b/>
                <w:bCs/>
                <w:color w:val="000000" w:themeColor="text1"/>
                <w:sz w:val="24"/>
              </w:rPr>
              <w:t>垂体催乳素</w:t>
            </w:r>
          </w:p>
        </w:tc>
        <w:tc>
          <w:tcPr>
            <w:tcW w:w="1754" w:type="dxa"/>
            <w:gridSpan w:val="2"/>
            <w:vAlign w:val="center"/>
          </w:tcPr>
          <w:p>
            <w:r>
              <w:t>{{PRL_result}}</w:t>
            </w:r>
          </w:p>
        </w:tc>
        <w:tc>
          <w:tcPr>
            <w:tcW w:w="825" w:type="dxa"/>
            <w:gridSpan w:val="2"/>
            <w:vAlign w:val="center"/>
          </w:tcPr>
          <w:p>
            <w:r>
              <w:t>{{PRL_point}}</w:t>
            </w:r>
          </w:p>
        </w:tc>
        <w:tc>
          <w:tcPr>
            <w:tcW w:w="1980" w:type="dxa"/>
            <w:gridSpan w:val="2"/>
            <w:vAlign w:val="center"/>
          </w:tcPr>
          <w:p>
            <w:r>
              <w:t>{{PRL_refer}}</w:t>
            </w:r>
          </w:p>
        </w:tc>
        <w:tc>
          <w:tcPr>
            <w:tcW w:w="1408" w:type="dxa"/>
            <w:gridSpan w:val="2"/>
            <w:vAlign w:val="center"/>
          </w:tcPr>
          <w:p>
            <w:r>
              <w:t>{{PRL_unit}}</w:t>
            </w:r>
          </w:p>
        </w:tc>
      </w:tr>
      <w:tr w:rsidR="009967D1" w14:paraId="2CB78120" w14:textId="77777777">
        <w:trPr>
          <w:trHeight w:val="1651"/>
          <w:jc w:val="center"/>
        </w:trPr>
        <w:tc>
          <w:tcPr>
            <w:tcW w:w="9653" w:type="dxa"/>
            <w:gridSpan w:val="11"/>
            <w:vAlign w:val="center"/>
          </w:tcPr>
          <w:p w14:paraId="26A9E709" w14:textId="77777777" w:rsidR="009967D1" w:rsidRDefault="0080134E">
            <w:r>
              <w:rPr>
                <w:b/>
                <w:bCs/>
              </w:rPr>
              <w:t>Clinical significance:</w:t>
            </w:r>
            <w:r>
              <w:t xml:space="preserve"> (Same as in females, focused on males) In males, prolactin is secreted by the pituitary gland. It is used to evaluate prolactinoma, gonadal function, diagnose hyperprolactinemia, and reflect reproductive endocrine regulation.Reference range: Males 3.46 - 19.40 ng/ml.</w:t>
            </w:r>
          </w:p>
          <w:p w14:paraId="5F11109F" w14:textId="580CF39A" w:rsidR="009967D1" w:rsidRDefault="0080134E">
            <w:r>
              <w:rPr>
                <w:b/>
                <w:bCs/>
              </w:rPr>
              <w:t>临床意义：</w:t>
            </w:r>
            <w:r>
              <w:t>男性PRL由垂体分泌，评估垂体催乳素瘤、性腺功能，诊断高催乳素血症，反映生殖内分泌调节</w:t>
            </w:r>
            <w:r>
              <w:rPr>
                <w:rFonts w:hint="eastAsia"/>
              </w:rPr>
              <w:t>。</w:t>
            </w:r>
            <w:r>
              <w:t>正常参考值：男性3.46-19.40ng/ml</w:t>
            </w:r>
            <w:r>
              <w:rPr>
                <w:rFonts w:hint="eastAsia"/>
              </w:rPr>
              <w:t>。</w:t>
            </w:r>
          </w:p>
        </w:tc>
      </w:tr>
    </w:tbl>
    <w:p w14:paraId="16E1688B" w14:textId="77777777" w:rsidR="009967D1" w:rsidRDefault="009967D1" w:rsidP="004619DA">
      <w:pPr>
        <w:pStyle w:val="0"/>
      </w:pPr>
    </w:p>
    <w:p w14:paraId="60744DA6"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EC2A336" w14:textId="77777777">
        <w:trPr>
          <w:trHeight w:hRule="exact" w:val="113"/>
          <w:jc w:val="center"/>
        </w:trPr>
        <w:tc>
          <w:tcPr>
            <w:tcW w:w="1560" w:type="dxa"/>
            <w:gridSpan w:val="2"/>
            <w:tcBorders>
              <w:top w:val="single" w:sz="4" w:space="0" w:color="auto"/>
            </w:tcBorders>
            <w:vAlign w:val="center"/>
          </w:tcPr>
          <w:p w14:paraId="68D3B92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D7259C5"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6EA9D2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19CB38C"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3A0C06C"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902E2C7" w14:textId="77777777" w:rsidR="009967D1" w:rsidRDefault="009967D1">
            <w:pPr>
              <w:spacing w:line="300" w:lineRule="exact"/>
              <w:jc w:val="right"/>
              <w:rPr>
                <w:color w:val="323E4F" w:themeColor="text2" w:themeShade="BF"/>
                <w:sz w:val="2"/>
                <w:szCs w:val="2"/>
              </w:rPr>
            </w:pPr>
          </w:p>
        </w:tc>
      </w:tr>
      <w:tr w:rsidR="009967D1" w14:paraId="6B86261A" w14:textId="77777777">
        <w:trPr>
          <w:trHeight w:val="432"/>
          <w:jc w:val="center"/>
        </w:trPr>
        <w:tc>
          <w:tcPr>
            <w:tcW w:w="1150" w:type="dxa"/>
            <w:vAlign w:val="center"/>
          </w:tcPr>
          <w:p w14:paraId="3BFC544A" w14:textId="77777777" w:rsidR="009967D1" w:rsidRDefault="0080134E">
            <w:pPr>
              <w:spacing w:line="400" w:lineRule="exact"/>
              <w:jc w:val="center"/>
              <w:rPr>
                <w:b/>
                <w:bCs/>
                <w:color w:val="000000" w:themeColor="text1"/>
                <w:sz w:val="24"/>
              </w:rPr>
            </w:pPr>
            <w:r>
              <w:rPr>
                <w:rFonts w:hint="eastAsia"/>
                <w:b/>
                <w:bCs/>
                <w:color w:val="000000" w:themeColor="text1"/>
                <w:sz w:val="24"/>
              </w:rPr>
              <w:t>Cortisol</w:t>
            </w:r>
          </w:p>
        </w:tc>
        <w:tc>
          <w:tcPr>
            <w:tcW w:w="2536" w:type="dxa"/>
            <w:gridSpan w:val="2"/>
            <w:vAlign w:val="center"/>
          </w:tcPr>
          <w:p w14:paraId="5A3A7685" w14:textId="77777777" w:rsidR="009967D1" w:rsidRDefault="0080134E">
            <w:pPr>
              <w:spacing w:line="400" w:lineRule="exact"/>
              <w:jc w:val="center"/>
              <w:rPr>
                <w:b/>
                <w:bCs/>
                <w:color w:val="000000" w:themeColor="text1"/>
                <w:sz w:val="24"/>
              </w:rPr>
            </w:pPr>
            <w:r>
              <w:rPr>
                <w:rFonts w:hint="eastAsia"/>
                <w:b/>
                <w:bCs/>
                <w:color w:val="000000" w:themeColor="text1"/>
                <w:sz w:val="24"/>
              </w:rPr>
              <w:t>皮质醇</w:t>
            </w:r>
          </w:p>
        </w:tc>
        <w:tc>
          <w:tcPr>
            <w:tcW w:w="1754" w:type="dxa"/>
            <w:gridSpan w:val="2"/>
            <w:vAlign w:val="center"/>
          </w:tcPr>
          <w:p>
            <w:r>
              <w:t>{{CORTISOL_result}}</w:t>
            </w:r>
          </w:p>
        </w:tc>
        <w:tc>
          <w:tcPr>
            <w:tcW w:w="825" w:type="dxa"/>
            <w:gridSpan w:val="2"/>
            <w:vAlign w:val="center"/>
          </w:tcPr>
          <w:p>
            <w:r>
              <w:t>{{CORTISOL_point}}</w:t>
            </w:r>
          </w:p>
        </w:tc>
        <w:tc>
          <w:tcPr>
            <w:tcW w:w="1980" w:type="dxa"/>
            <w:gridSpan w:val="2"/>
            <w:vAlign w:val="center"/>
          </w:tcPr>
          <w:p>
            <w:r>
              <w:t>{{CORTISOL_refer}}</w:t>
            </w:r>
          </w:p>
        </w:tc>
        <w:tc>
          <w:tcPr>
            <w:tcW w:w="1408" w:type="dxa"/>
            <w:gridSpan w:val="2"/>
            <w:vAlign w:val="center"/>
          </w:tcPr>
          <w:p>
            <w:r>
              <w:t>{{CORTISOL_unit}}</w:t>
            </w:r>
          </w:p>
        </w:tc>
      </w:tr>
      <w:tr w:rsidR="009967D1" w14:paraId="469D201F" w14:textId="77777777">
        <w:trPr>
          <w:trHeight w:val="1651"/>
          <w:jc w:val="center"/>
        </w:trPr>
        <w:tc>
          <w:tcPr>
            <w:tcW w:w="9653" w:type="dxa"/>
            <w:gridSpan w:val="11"/>
            <w:vAlign w:val="center"/>
          </w:tcPr>
          <w:p w14:paraId="1470A1E5" w14:textId="77777777" w:rsidR="009967D1" w:rsidRDefault="0080134E">
            <w:r>
              <w:rPr>
                <w:b/>
                <w:bCs/>
              </w:rPr>
              <w:t>Clinical significance:</w:t>
            </w:r>
            <w:r>
              <w:t xml:space="preserve"> (Same as in females, focused on males) Reflects adrenal cortical function, used to diagnose Cushing’s syndrome, adrenal insufficiency, and evaluate the impact of stress on male endocrine function.Reference range: 8 AM 138 - 635 nmol/L; 4 PM 83 - 414 nmol/L; midnight &lt;129 nmol/L, with circadian rhythm.</w:t>
            </w:r>
          </w:p>
          <w:p w14:paraId="3FFF77A1" w14:textId="57C04B75" w:rsidR="009967D1" w:rsidRDefault="0080134E">
            <w:r>
              <w:rPr>
                <w:b/>
                <w:bCs/>
              </w:rPr>
              <w:t>临床意义：</w:t>
            </w:r>
            <w:r>
              <w:t>反映肾上腺皮质功能，诊断库欣综合征、肾上腺皮质功能减退，评估应激状态对男性内分泌的影响</w:t>
            </w:r>
            <w:r>
              <w:rPr>
                <w:rFonts w:hint="eastAsia"/>
              </w:rPr>
              <w:t>。</w:t>
            </w:r>
            <w:r>
              <w:t>正常参考值：晨8点138-635nmol/L，下午4点83-414nmol/L，午夜0点＜129nmol/L，有昼夜节律</w:t>
            </w:r>
            <w:r>
              <w:rPr>
                <w:rFonts w:hint="eastAsia"/>
              </w:rPr>
              <w:t>。</w:t>
            </w:r>
          </w:p>
        </w:tc>
      </w:tr>
    </w:tbl>
    <w:p w14:paraId="14E62DCA" w14:textId="77777777" w:rsidR="009967D1" w:rsidRDefault="009967D1" w:rsidP="004619DA">
      <w:pPr>
        <w:pStyle w:val="0"/>
      </w:pPr>
    </w:p>
    <w:p w14:paraId="5D7760C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A2C3426" w14:textId="77777777">
        <w:trPr>
          <w:trHeight w:hRule="exact" w:val="113"/>
          <w:jc w:val="center"/>
        </w:trPr>
        <w:tc>
          <w:tcPr>
            <w:tcW w:w="1560" w:type="dxa"/>
            <w:gridSpan w:val="2"/>
            <w:tcBorders>
              <w:top w:val="single" w:sz="4" w:space="0" w:color="auto"/>
            </w:tcBorders>
            <w:vAlign w:val="center"/>
          </w:tcPr>
          <w:p w14:paraId="47C83CDC" w14:textId="77777777" w:rsidR="009967D1" w:rsidRDefault="009967D1">
            <w:pPr>
              <w:spacing w:line="400" w:lineRule="exact"/>
              <w:jc w:val="center"/>
              <w:rPr>
                <w:b/>
                <w:bCs/>
                <w:color w:val="000000" w:themeColor="text1"/>
                <w:sz w:val="24"/>
              </w:rPr>
            </w:pPr>
          </w:p>
        </w:tc>
        <w:tc>
          <w:tcPr>
            <w:tcW w:w="3827" w:type="dxa"/>
            <w:gridSpan w:val="2"/>
            <w:tcBorders>
              <w:top w:val="single" w:sz="4" w:space="0" w:color="auto"/>
            </w:tcBorders>
            <w:vAlign w:val="center"/>
          </w:tcPr>
          <w:p w14:paraId="67D38ED9" w14:textId="77777777" w:rsidR="009967D1" w:rsidRDefault="009967D1">
            <w:pPr>
              <w:spacing w:line="400" w:lineRule="exact"/>
              <w:jc w:val="center"/>
              <w:rPr>
                <w:b/>
                <w:bCs/>
                <w:color w:val="000000" w:themeColor="text1"/>
                <w:sz w:val="24"/>
              </w:rPr>
            </w:pPr>
          </w:p>
        </w:tc>
        <w:tc>
          <w:tcPr>
            <w:tcW w:w="850" w:type="dxa"/>
            <w:gridSpan w:val="2"/>
            <w:tcBorders>
              <w:top w:val="single" w:sz="4" w:space="0" w:color="auto"/>
            </w:tcBorders>
            <w:vAlign w:val="center"/>
          </w:tcPr>
          <w:p w14:paraId="3A1C0D40" w14:textId="77777777" w:rsidR="009967D1" w:rsidRDefault="009967D1">
            <w:pPr>
              <w:spacing w:line="400" w:lineRule="exact"/>
              <w:jc w:val="center"/>
              <w:rPr>
                <w:b/>
                <w:bCs/>
                <w:color w:val="000000" w:themeColor="text1"/>
                <w:sz w:val="24"/>
              </w:rPr>
            </w:pPr>
          </w:p>
        </w:tc>
        <w:tc>
          <w:tcPr>
            <w:tcW w:w="709" w:type="dxa"/>
            <w:gridSpan w:val="2"/>
            <w:tcBorders>
              <w:top w:val="single" w:sz="4" w:space="0" w:color="auto"/>
            </w:tcBorders>
            <w:vAlign w:val="center"/>
          </w:tcPr>
          <w:p w14:paraId="613511BC" w14:textId="77777777" w:rsidR="009967D1" w:rsidRDefault="009967D1">
            <w:pPr>
              <w:spacing w:line="400" w:lineRule="exact"/>
              <w:jc w:val="center"/>
              <w:rPr>
                <w:b/>
                <w:bCs/>
                <w:color w:val="000000" w:themeColor="text1"/>
                <w:sz w:val="24"/>
              </w:rPr>
            </w:pPr>
          </w:p>
        </w:tc>
        <w:tc>
          <w:tcPr>
            <w:tcW w:w="1985" w:type="dxa"/>
            <w:gridSpan w:val="2"/>
            <w:tcBorders>
              <w:top w:val="single" w:sz="4" w:space="0" w:color="auto"/>
            </w:tcBorders>
            <w:vAlign w:val="center"/>
          </w:tcPr>
          <w:p w14:paraId="4BF6500F" w14:textId="77777777" w:rsidR="009967D1" w:rsidRDefault="009967D1">
            <w:pPr>
              <w:spacing w:line="400" w:lineRule="exact"/>
              <w:jc w:val="center"/>
              <w:rPr>
                <w:b/>
                <w:bCs/>
                <w:color w:val="000000" w:themeColor="text1"/>
                <w:sz w:val="24"/>
              </w:rPr>
            </w:pPr>
          </w:p>
        </w:tc>
        <w:tc>
          <w:tcPr>
            <w:tcW w:w="722" w:type="dxa"/>
            <w:tcBorders>
              <w:top w:val="single" w:sz="4" w:space="0" w:color="auto"/>
            </w:tcBorders>
            <w:vAlign w:val="center"/>
          </w:tcPr>
          <w:p w14:paraId="436A2578" w14:textId="77777777" w:rsidR="009967D1" w:rsidRDefault="009967D1">
            <w:pPr>
              <w:spacing w:line="400" w:lineRule="exact"/>
              <w:jc w:val="center"/>
              <w:rPr>
                <w:b/>
                <w:bCs/>
                <w:color w:val="000000" w:themeColor="text1"/>
                <w:sz w:val="24"/>
              </w:rPr>
            </w:pPr>
          </w:p>
        </w:tc>
      </w:tr>
      <w:tr w:rsidR="009967D1" w14:paraId="66CA8BD8" w14:textId="77777777">
        <w:trPr>
          <w:trHeight w:val="432"/>
          <w:jc w:val="center"/>
        </w:trPr>
        <w:tc>
          <w:tcPr>
            <w:tcW w:w="1150" w:type="dxa"/>
            <w:vAlign w:val="center"/>
          </w:tcPr>
          <w:p w14:paraId="6CD9818D" w14:textId="77777777" w:rsidR="009967D1" w:rsidRDefault="0080134E">
            <w:pPr>
              <w:spacing w:line="400" w:lineRule="exact"/>
              <w:jc w:val="center"/>
              <w:rPr>
                <w:b/>
                <w:bCs/>
                <w:color w:val="000000" w:themeColor="text1"/>
                <w:sz w:val="24"/>
              </w:rPr>
            </w:pPr>
            <w:r>
              <w:rPr>
                <w:rFonts w:hint="eastAsia"/>
                <w:b/>
                <w:bCs/>
                <w:color w:val="000000" w:themeColor="text1"/>
                <w:sz w:val="24"/>
              </w:rPr>
              <w:t>E2</w:t>
            </w:r>
          </w:p>
        </w:tc>
        <w:tc>
          <w:tcPr>
            <w:tcW w:w="2536" w:type="dxa"/>
            <w:gridSpan w:val="2"/>
            <w:vAlign w:val="center"/>
          </w:tcPr>
          <w:p w14:paraId="6F4BDFB4"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雌二醇 </w:t>
            </w:r>
          </w:p>
        </w:tc>
        <w:tc>
          <w:tcPr>
            <w:tcW w:w="1754" w:type="dxa"/>
            <w:gridSpan w:val="2"/>
            <w:vAlign w:val="center"/>
          </w:tcPr>
          <w:p>
            <w:r>
              <w:t>{{E2_result}}</w:t>
            </w:r>
          </w:p>
        </w:tc>
        <w:tc>
          <w:tcPr>
            <w:tcW w:w="825" w:type="dxa"/>
            <w:gridSpan w:val="2"/>
            <w:vAlign w:val="center"/>
          </w:tcPr>
          <w:p>
            <w:r>
              <w:t>{{E2_point}}</w:t>
            </w:r>
          </w:p>
        </w:tc>
        <w:tc>
          <w:tcPr>
            <w:tcW w:w="1980" w:type="dxa"/>
            <w:gridSpan w:val="2"/>
            <w:vAlign w:val="center"/>
          </w:tcPr>
          <w:p>
            <w:r>
              <w:t>{{E2_refer}}</w:t>
            </w:r>
          </w:p>
        </w:tc>
        <w:tc>
          <w:tcPr>
            <w:tcW w:w="1408" w:type="dxa"/>
            <w:gridSpan w:val="2"/>
            <w:vAlign w:val="center"/>
          </w:tcPr>
          <w:p>
            <w:r>
              <w:t>{{E2_unit}}</w:t>
            </w:r>
          </w:p>
        </w:tc>
      </w:tr>
      <w:tr w:rsidR="009967D1" w14:paraId="73C322F1" w14:textId="77777777">
        <w:trPr>
          <w:trHeight w:val="1651"/>
          <w:jc w:val="center"/>
        </w:trPr>
        <w:tc>
          <w:tcPr>
            <w:tcW w:w="9653" w:type="dxa"/>
            <w:gridSpan w:val="11"/>
            <w:vAlign w:val="center"/>
          </w:tcPr>
          <w:p w14:paraId="0363CBD8" w14:textId="77777777" w:rsidR="009967D1" w:rsidRDefault="0080134E">
            <w:r>
              <w:rPr>
                <w:b/>
                <w:bCs/>
              </w:rPr>
              <w:t>Clinical significance:</w:t>
            </w:r>
            <w:r>
              <w:t xml:space="preserve"> In males, estradiol is converted from testosterone. It is used to evaluate gonadal function, reproductive endocrine balance, and diagnose male gynecomastia and estrogen-excess-related conditions.Reference range: Males 20 - 75 pmol/L.</w:t>
            </w:r>
          </w:p>
          <w:p w14:paraId="268FBFF0" w14:textId="77777777" w:rsidR="009967D1" w:rsidRDefault="0080134E">
            <w:r>
              <w:rPr>
                <w:b/>
                <w:bCs/>
              </w:rPr>
              <w:t>临床意义：</w:t>
            </w:r>
            <w:r>
              <w:t>男性体内E2由睾酮转化而来，评估性腺功能、生殖内分泌平衡，诊断男性乳腺发育、雌激素过多相关疾病</w:t>
            </w:r>
            <w:r>
              <w:rPr>
                <w:rFonts w:hint="eastAsia"/>
              </w:rPr>
              <w:t>。</w:t>
            </w:r>
            <w:r>
              <w:t>正常参考值：男性20-75pmol/L</w:t>
            </w:r>
            <w:r>
              <w:rPr>
                <w:rFonts w:hint="eastAsia"/>
              </w:rPr>
              <w:t>。</w:t>
            </w:r>
          </w:p>
        </w:tc>
      </w:tr>
    </w:tbl>
    <w:p w14:paraId="20205FB4"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38AD87FD" w14:textId="77777777" w:rsidR="002A401B" w:rsidRDefault="002A401B" w:rsidP="002A401B">
      <w:pPr>
        <w:pStyle w:val="3-"/>
      </w:pPr>
      <w:r>
        <w:lastRenderedPageBreak/>
        <w:t>T</w:t>
      </w:r>
      <w:r w:rsidRPr="0092125F">
        <w:t xml:space="preserve">umor </w:t>
      </w:r>
      <w:r>
        <w:t>M</w:t>
      </w:r>
      <w:r w:rsidRPr="0092125F">
        <w:t>arkers</w:t>
      </w:r>
      <w:r>
        <w:br/>
      </w:r>
      <w:r>
        <w:rPr>
          <w:rFonts w:hint="eastAsia"/>
        </w:rPr>
        <w:t>肿瘤标记物</w:t>
      </w:r>
    </w:p>
    <w:p w14:paraId="7446C3BB" w14:textId="77777777" w:rsidR="002A401B" w:rsidRDefault="002A401B" w:rsidP="002A401B">
      <w:pPr>
        <w:pStyle w:val="0"/>
      </w:pPr>
    </w:p>
    <w:p w14:paraId="59CFE06E" w14:textId="77777777" w:rsidR="002A401B" w:rsidRDefault="002A401B" w:rsidP="002A401B">
      <w:pPr>
        <w:pStyle w:val="00"/>
      </w:pPr>
      <w:r w:rsidRPr="00BF1B7E">
        <w:t>Tumor marker testing is an essential laboratory assessment for cancer risk screening, diagnostic assistance, treatment monitoring, and recurrence evaluation. Commonly measured markers include alpha-fetoprotein (AFP), carcinoembryonic antigen (CEA), carbohydrate antigens (CA19-9, CA125, CA15-3), ferritin (Fer), neuron-specific enolase (NSE), thyroglobulin (Tg), calcitonin (CT), cytokeratin fragment 19 (CYFRA21-1), Epstein-Barr virus-related antibodies (EA-IgA), and prostate-specific antigens (PSA series: TPSA, FPSA, and ratio E/TPSA). These molecules are expressed or elevated in specific tissues and tumor types, making them valuable tools for detecting potential malignancies and monitoring disease progression.</w:t>
      </w:r>
    </w:p>
    <w:p w14:paraId="16E1D3C6" w14:textId="77777777" w:rsidR="002A401B" w:rsidRDefault="002A401B" w:rsidP="002A401B">
      <w:pPr>
        <w:pStyle w:val="0"/>
      </w:pPr>
      <w:r w:rsidRPr="00BF1B7E">
        <w:t>肿瘤标志物检测是目前临床用于肿瘤风险筛查、诊断辅助、治疗监测和复发评估的重要实验室项目。常见的指标包括甲胎蛋白（</w:t>
      </w:r>
      <w:r w:rsidRPr="00BF1B7E">
        <w:t>AFP</w:t>
      </w:r>
      <w:r w:rsidRPr="00BF1B7E">
        <w:t>）、癌胚抗原（</w:t>
      </w:r>
      <w:r w:rsidRPr="00BF1B7E">
        <w:t>CEA</w:t>
      </w:r>
      <w:r w:rsidRPr="00BF1B7E">
        <w:t>）、糖类抗原系列（</w:t>
      </w:r>
      <w:r w:rsidRPr="00BF1B7E">
        <w:t>CA19-9</w:t>
      </w:r>
      <w:r w:rsidRPr="00BF1B7E">
        <w:t>、</w:t>
      </w:r>
      <w:r w:rsidRPr="00BF1B7E">
        <w:t>CA125</w:t>
      </w:r>
      <w:r w:rsidRPr="00BF1B7E">
        <w:t>、</w:t>
      </w:r>
      <w:r w:rsidRPr="00BF1B7E">
        <w:t>CA15-3</w:t>
      </w:r>
      <w:r w:rsidRPr="00BF1B7E">
        <w:t>）、铁蛋白（</w:t>
      </w:r>
      <w:r w:rsidRPr="00BF1B7E">
        <w:t>Fer</w:t>
      </w:r>
      <w:r w:rsidRPr="00BF1B7E">
        <w:t>）、神经元特异性烯醇化酶（</w:t>
      </w:r>
      <w:r w:rsidRPr="00BF1B7E">
        <w:t>NES</w:t>
      </w:r>
      <w:r w:rsidRPr="00BF1B7E">
        <w:t>）、甲状腺球蛋白（</w:t>
      </w:r>
      <w:r w:rsidRPr="00BF1B7E">
        <w:t>Tg</w:t>
      </w:r>
      <w:r w:rsidRPr="00BF1B7E">
        <w:t>）、降钙素（</w:t>
      </w:r>
      <w:r w:rsidRPr="00BF1B7E">
        <w:t>CT</w:t>
      </w:r>
      <w:r w:rsidRPr="00BF1B7E">
        <w:t>）、细胞角蛋白</w:t>
      </w:r>
      <w:r w:rsidRPr="00BF1B7E">
        <w:t>19</w:t>
      </w:r>
      <w:r w:rsidRPr="00BF1B7E">
        <w:t>片段（</w:t>
      </w:r>
      <w:r w:rsidRPr="00BF1B7E">
        <w:t>CYFRA21-1</w:t>
      </w:r>
      <w:r w:rsidRPr="00BF1B7E">
        <w:t>）、</w:t>
      </w:r>
      <w:r w:rsidRPr="00BF1B7E">
        <w:t>EB</w:t>
      </w:r>
      <w:r w:rsidRPr="00BF1B7E">
        <w:t>病毒相关抗体（</w:t>
      </w:r>
      <w:r w:rsidRPr="00BF1B7E">
        <w:t>EA-IgA</w:t>
      </w:r>
      <w:r w:rsidRPr="00BF1B7E">
        <w:t>）以及前列腺特异性抗原（</w:t>
      </w:r>
      <w:r w:rsidRPr="00BF1B7E">
        <w:t>PSA</w:t>
      </w:r>
      <w:r w:rsidRPr="00BF1B7E">
        <w:t>系列）等。这些分子在不同组织和肿瘤类型中具有特异性表达或升高，可作为发现潜在肿瘤及疾病动态监控的重要工具。</w:t>
      </w:r>
    </w:p>
    <w:p w14:paraId="70861769" w14:textId="1BF798FF" w:rsidR="002A401B" w:rsidRDefault="002A401B" w:rsidP="002A401B">
      <w:pPr>
        <w:pStyle w:val="00"/>
      </w:pPr>
      <w:r w:rsidRPr="00BF1B7E">
        <w:t>Clinically, different tumor markers correspond to specific cancer risks. For example, AFP is widely used for hepatocellular carcinoma screening and monitoring; CEA is associated with gastrointestinal malignancies; CA19-9 is a marker for pancreatic and biliary tract cancers; CA125 and CA15-3 are key indicators for ovarian and breast cancer in women; PSA markers (TPSA, FPSA, and their ratios) are critical for prostate cancer screening and classification; Tg and CT are important for thyroid cancer follow-up; CYFRA21-1 is useful for lung cancer diagnosis; and EBV antibody (EA-IgA) serves as a reference marker for nasopharyngeal carcinoma.</w:t>
      </w:r>
    </w:p>
    <w:p w14:paraId="633D1818" w14:textId="4CE56638" w:rsidR="002A401B" w:rsidRDefault="002A401B" w:rsidP="002A401B">
      <w:pPr>
        <w:pStyle w:val="0"/>
      </w:pPr>
      <w:r>
        <w:t>临床上，不同肿瘤标志物对应不同的疾病风险。例如：</w:t>
      </w:r>
      <w:r>
        <w:t>AFP</w:t>
      </w:r>
      <w:r>
        <w:t>常用于肝癌筛查和疗效监测；</w:t>
      </w:r>
      <w:r>
        <w:t>CEA</w:t>
      </w:r>
      <w:r>
        <w:t>多与消化系统肿瘤相关；</w:t>
      </w:r>
      <w:r>
        <w:t>CA19-9</w:t>
      </w:r>
      <w:r>
        <w:t>主要用于胰腺癌和胆道系统肿瘤；</w:t>
      </w:r>
      <w:r>
        <w:t>CA125</w:t>
      </w:r>
      <w:r>
        <w:t>、</w:t>
      </w:r>
      <w:r>
        <w:t>CA15-3</w:t>
      </w:r>
      <w:r>
        <w:t>是女性卵巢癌、乳腺癌的重要监测指标；</w:t>
      </w:r>
      <w:r>
        <w:t>PSA</w:t>
      </w:r>
      <w:r>
        <w:t>系列（</w:t>
      </w:r>
      <w:r>
        <w:t>TPSA</w:t>
      </w:r>
      <w:r>
        <w:t>、</w:t>
      </w:r>
      <w:r>
        <w:t>FPSA</w:t>
      </w:r>
      <w:r>
        <w:t>及其比值）是前列腺癌筛查与分型的重要手段；</w:t>
      </w:r>
      <w:r>
        <w:t>Tg</w:t>
      </w:r>
      <w:r>
        <w:t>与</w:t>
      </w:r>
      <w:r>
        <w:t>CT</w:t>
      </w:r>
      <w:r>
        <w:t>用于甲状腺疾病的随访；</w:t>
      </w:r>
      <w:r>
        <w:t>CYFRA21-1</w:t>
      </w:r>
      <w:r>
        <w:t>常用于肺癌的辅助诊断；而</w:t>
      </w:r>
      <w:r>
        <w:t>EB</w:t>
      </w:r>
      <w:r>
        <w:t>病毒抗体（</w:t>
      </w:r>
      <w:r>
        <w:t>EA-IgA</w:t>
      </w:r>
      <w:r>
        <w:t>）则是鼻咽癌的重要参考指标。</w:t>
      </w:r>
    </w:p>
    <w:p w14:paraId="39D241C9" w14:textId="77777777" w:rsidR="002A401B" w:rsidRDefault="002A401B" w:rsidP="002A401B">
      <w:pPr>
        <w:pStyle w:val="00"/>
      </w:pPr>
      <w:r w:rsidRPr="00BF1B7E">
        <w:t>In preventive healthcare, tumor marker testing is valuable not only for early cancer detection but also for long-term monitoring in high-risk populations, including individuals with chronic diseases or a family history of cancer. When combined with imaging and genetic testing, tumor markers enable more precise early detection and comprehensive evaluation. It is important to note, however, that elevated levels of a single tumor marker alone cannot confirm malignancy, and results must be interpreted alongside clinical findings and other diagnostic tests.</w:t>
      </w:r>
    </w:p>
    <w:p w14:paraId="52329987" w14:textId="2F95EB13" w:rsidR="002A401B" w:rsidRDefault="00E0487F" w:rsidP="002A401B">
      <w:pPr>
        <w:pStyle w:val="0"/>
      </w:pPr>
      <w:r w:rsidRPr="009E1205">
        <w:rPr>
          <w:noProof/>
        </w:rPr>
        <w:drawing>
          <wp:anchor distT="0" distB="0" distL="114300" distR="114300" simplePos="0" relativeHeight="251705344" behindDoc="0" locked="0" layoutInCell="1" allowOverlap="1" wp14:anchorId="03FC964A" wp14:editId="715322C2">
            <wp:simplePos x="0" y="0"/>
            <wp:positionH relativeFrom="column">
              <wp:posOffset>1857</wp:posOffset>
            </wp:positionH>
            <wp:positionV relativeFrom="paragraph">
              <wp:posOffset>925661</wp:posOffset>
            </wp:positionV>
            <wp:extent cx="6080125" cy="1203767"/>
            <wp:effectExtent l="0" t="0" r="3175" b="3175"/>
            <wp:wrapNone/>
            <wp:docPr id="2454838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483830" name="图片 1"/>
                    <pic:cNvPicPr/>
                  </pic:nvPicPr>
                  <pic:blipFill>
                    <a:blip r:embed="rId34">
                      <a:extLst>
                        <a:ext uri="{28A0092B-C50C-407E-A947-70E740481C1C}">
                          <a14:useLocalDpi xmlns:a14="http://schemas.microsoft.com/office/drawing/2010/main" val="0"/>
                        </a:ext>
                      </a:extLst>
                    </a:blip>
                    <a:srcRect t="34947" b="34947"/>
                    <a:stretch>
                      <a:fillRect/>
                    </a:stretch>
                  </pic:blipFill>
                  <pic:spPr bwMode="auto">
                    <a:xfrm>
                      <a:off x="0" y="0"/>
                      <a:ext cx="6080125" cy="12037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A401B">
        <w:t>在健康管理中，肿瘤标志物检测的价值不仅在于发现潜在恶性肿瘤，还可以用于慢性疾病患者、家族高危人群及健康人群的长期风险监控。通过与影像学、基因检测等手段结合，可实现更精准的早期发现与综合评估。但需要强调的是，单一标志物升高并不能直接确诊肿瘤，必须结合临床表现和其他检查综合判断。</w:t>
      </w:r>
    </w:p>
    <w:p w14:paraId="7A38C441" w14:textId="55B22DDA" w:rsidR="002A401B" w:rsidRDefault="002A401B" w:rsidP="002A401B">
      <w:pPr>
        <w:pStyle w:val="0"/>
      </w:pPr>
    </w:p>
    <w:p w14:paraId="6ECDE740" w14:textId="77777777" w:rsidR="002A401B" w:rsidRPr="00BF1B7E" w:rsidRDefault="002A401B" w:rsidP="002A401B">
      <w:pPr>
        <w:pStyle w:val="0"/>
      </w:pPr>
    </w:p>
    <w:p w14:paraId="6C2D62D5" w14:textId="77777777" w:rsidR="002A401B" w:rsidRDefault="002A401B" w:rsidP="002A401B">
      <w:pPr>
        <w:widowControl/>
        <w:jc w:val="left"/>
      </w:pPr>
      <w:r>
        <w:br w:type="page"/>
      </w:r>
    </w:p>
    <w:p w14:paraId="24356477" w14:textId="77777777" w:rsidR="002A401B" w:rsidRDefault="002A401B" w:rsidP="002A401B"/>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635D9DF9" w14:textId="77777777" w:rsidTr="005971A0">
        <w:trPr>
          <w:trHeight w:val="839"/>
          <w:jc w:val="center"/>
        </w:trPr>
        <w:tc>
          <w:tcPr>
            <w:tcW w:w="1150" w:type="dxa"/>
            <w:tcBorders>
              <w:top w:val="single" w:sz="4" w:space="0" w:color="auto"/>
              <w:bottom w:val="single" w:sz="4" w:space="0" w:color="auto"/>
            </w:tcBorders>
            <w:vAlign w:val="center"/>
          </w:tcPr>
          <w:p w14:paraId="2F5BF00A" w14:textId="77777777" w:rsidR="002A401B" w:rsidRDefault="002A401B" w:rsidP="005971A0">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75147C0F" w14:textId="77777777" w:rsidR="002A401B" w:rsidRDefault="002A401B" w:rsidP="005971A0">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2DE82FC8" w14:textId="77777777" w:rsidR="002A401B" w:rsidRDefault="002A401B" w:rsidP="005971A0">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3F7DC786" w14:textId="77777777" w:rsidR="002A401B" w:rsidRDefault="002A401B" w:rsidP="005971A0">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575C3E8A" w14:textId="77777777" w:rsidR="002A401B" w:rsidRDefault="002A401B" w:rsidP="005971A0">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08D80C54" w14:textId="77777777" w:rsidR="002A401B" w:rsidRDefault="002A401B" w:rsidP="005971A0">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2A401B" w14:paraId="482463DD" w14:textId="77777777" w:rsidTr="005971A0">
        <w:trPr>
          <w:trHeight w:val="1111"/>
          <w:jc w:val="center"/>
        </w:trPr>
        <w:tc>
          <w:tcPr>
            <w:tcW w:w="9653" w:type="dxa"/>
            <w:gridSpan w:val="11"/>
            <w:tcBorders>
              <w:top w:val="single" w:sz="4" w:space="0" w:color="auto"/>
              <w:bottom w:val="single" w:sz="4" w:space="0" w:color="auto"/>
            </w:tcBorders>
            <w:vAlign w:val="center"/>
          </w:tcPr>
          <w:p w14:paraId="198240C9" w14:textId="77777777" w:rsidR="002A401B" w:rsidRDefault="002A401B" w:rsidP="005971A0">
            <w:pPr>
              <w:spacing w:line="400" w:lineRule="exact"/>
              <w:jc w:val="center"/>
              <w:rPr>
                <w:b/>
                <w:bCs/>
                <w:color w:val="323E4F" w:themeColor="text2" w:themeShade="BF"/>
                <w:sz w:val="32"/>
                <w:szCs w:val="32"/>
              </w:rPr>
            </w:pPr>
            <w:r>
              <w:rPr>
                <w:b/>
                <w:bCs/>
                <w:color w:val="323E4F" w:themeColor="text2" w:themeShade="BF"/>
                <w:sz w:val="32"/>
                <w:szCs w:val="32"/>
              </w:rPr>
              <w:t>T</w:t>
            </w:r>
            <w:r>
              <w:rPr>
                <w:rFonts w:hint="eastAsia"/>
                <w:b/>
                <w:bCs/>
                <w:color w:val="323E4F" w:themeColor="text2" w:themeShade="BF"/>
                <w:sz w:val="32"/>
                <w:szCs w:val="32"/>
              </w:rPr>
              <w:t xml:space="preserve">umor </w:t>
            </w:r>
            <w:r>
              <w:rPr>
                <w:b/>
                <w:bCs/>
                <w:color w:val="323E4F" w:themeColor="text2" w:themeShade="BF"/>
                <w:sz w:val="32"/>
                <w:szCs w:val="32"/>
              </w:rPr>
              <w:t>M</w:t>
            </w:r>
            <w:r>
              <w:rPr>
                <w:rFonts w:hint="eastAsia"/>
                <w:b/>
                <w:bCs/>
                <w:color w:val="323E4F" w:themeColor="text2" w:themeShade="BF"/>
                <w:sz w:val="32"/>
                <w:szCs w:val="32"/>
              </w:rPr>
              <w:t>arkers</w:t>
            </w:r>
          </w:p>
          <w:p w14:paraId="34FC2501" w14:textId="77777777" w:rsidR="002A401B" w:rsidRDefault="002A401B" w:rsidP="005971A0">
            <w:pPr>
              <w:spacing w:line="400" w:lineRule="exact"/>
              <w:jc w:val="center"/>
              <w:rPr>
                <w:color w:val="323E4F" w:themeColor="text2" w:themeShade="BF"/>
                <w:sz w:val="32"/>
                <w:szCs w:val="32"/>
              </w:rPr>
            </w:pPr>
            <w:r>
              <w:rPr>
                <w:rFonts w:hint="eastAsia"/>
                <w:b/>
                <w:bCs/>
                <w:color w:val="323E4F" w:themeColor="text2" w:themeShade="BF"/>
                <w:sz w:val="32"/>
                <w:szCs w:val="32"/>
              </w:rPr>
              <w:t>肿瘤标记物</w:t>
            </w:r>
          </w:p>
        </w:tc>
      </w:tr>
      <w:tr w:rsidR="002A401B" w14:paraId="40F6465C" w14:textId="77777777" w:rsidTr="005971A0">
        <w:trPr>
          <w:trHeight w:hRule="exact" w:val="113"/>
          <w:jc w:val="center"/>
        </w:trPr>
        <w:tc>
          <w:tcPr>
            <w:tcW w:w="1560" w:type="dxa"/>
            <w:gridSpan w:val="2"/>
            <w:tcBorders>
              <w:top w:val="single" w:sz="4" w:space="0" w:color="auto"/>
            </w:tcBorders>
            <w:vAlign w:val="center"/>
          </w:tcPr>
          <w:p w14:paraId="37180095"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EDB322A"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A204D86"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44AE679"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8786CCD"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7EF2BAD4" w14:textId="77777777" w:rsidR="002A401B" w:rsidRDefault="002A401B" w:rsidP="005971A0">
            <w:pPr>
              <w:spacing w:line="300" w:lineRule="exact"/>
              <w:jc w:val="right"/>
              <w:rPr>
                <w:color w:val="323E4F" w:themeColor="text2" w:themeShade="BF"/>
                <w:sz w:val="2"/>
                <w:szCs w:val="2"/>
              </w:rPr>
            </w:pPr>
          </w:p>
        </w:tc>
      </w:tr>
      <w:tr w:rsidR="002A401B" w14:paraId="5194F181" w14:textId="77777777" w:rsidTr="005971A0">
        <w:trPr>
          <w:trHeight w:val="432"/>
          <w:jc w:val="center"/>
        </w:trPr>
        <w:tc>
          <w:tcPr>
            <w:tcW w:w="1150" w:type="dxa"/>
            <w:vAlign w:val="center"/>
          </w:tcPr>
          <w:p w14:paraId="42F60E1D"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AFP</w:t>
            </w:r>
          </w:p>
        </w:tc>
        <w:tc>
          <w:tcPr>
            <w:tcW w:w="2536" w:type="dxa"/>
            <w:gridSpan w:val="2"/>
            <w:vAlign w:val="center"/>
          </w:tcPr>
          <w:p w14:paraId="74884E71"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甲胎蛋白</w:t>
            </w:r>
          </w:p>
        </w:tc>
        <w:tc>
          <w:tcPr>
            <w:tcW w:w="1754" w:type="dxa"/>
            <w:gridSpan w:val="2"/>
            <w:vAlign w:val="center"/>
          </w:tcPr>
          <w:p>
            <w:r>
              <w:t>{{AFP_result}}</w:t>
            </w:r>
          </w:p>
        </w:tc>
        <w:tc>
          <w:tcPr>
            <w:tcW w:w="825" w:type="dxa"/>
            <w:gridSpan w:val="2"/>
            <w:vAlign w:val="center"/>
          </w:tcPr>
          <w:p>
            <w:r>
              <w:t>{{AFP_point}}</w:t>
            </w:r>
          </w:p>
        </w:tc>
        <w:tc>
          <w:tcPr>
            <w:tcW w:w="1980" w:type="dxa"/>
            <w:gridSpan w:val="2"/>
            <w:vAlign w:val="center"/>
          </w:tcPr>
          <w:p>
            <w:r>
              <w:t>{{AFP_refer}}</w:t>
            </w:r>
          </w:p>
        </w:tc>
        <w:tc>
          <w:tcPr>
            <w:tcW w:w="1408" w:type="dxa"/>
            <w:gridSpan w:val="2"/>
            <w:vAlign w:val="center"/>
          </w:tcPr>
          <w:p>
            <w:r>
              <w:t>{{AFP_unit}}</w:t>
            </w:r>
          </w:p>
        </w:tc>
      </w:tr>
      <w:tr w:rsidR="002A401B" w14:paraId="2EAABE94" w14:textId="77777777" w:rsidTr="005971A0">
        <w:trPr>
          <w:trHeight w:val="1651"/>
          <w:jc w:val="center"/>
        </w:trPr>
        <w:tc>
          <w:tcPr>
            <w:tcW w:w="9653" w:type="dxa"/>
            <w:gridSpan w:val="11"/>
            <w:vAlign w:val="center"/>
          </w:tcPr>
          <w:p w14:paraId="5A01BD80" w14:textId="77777777" w:rsidR="002A401B" w:rsidRDefault="002A401B" w:rsidP="005971A0">
            <w:r>
              <w:rPr>
                <w:b/>
                <w:bCs/>
              </w:rPr>
              <w:t>Clinical significance:</w:t>
            </w:r>
            <w:r>
              <w:t xml:space="preserve"> An important marker for diagnosing primary hepatocellular carcinoma; also used for postoperative monitoring of liver cancer and screening for fetal neural tube defects. The normal reference value is generally &lt;25 ng/ml (method-dependent).</w:t>
            </w:r>
          </w:p>
          <w:p w14:paraId="0FCFB6F6" w14:textId="77777777" w:rsidR="002A401B" w:rsidRDefault="002A401B" w:rsidP="005971A0">
            <w:r>
              <w:rPr>
                <w:b/>
                <w:bCs/>
              </w:rPr>
              <w:t>临床意义：</w:t>
            </w:r>
            <w:r>
              <w:t>诊断原发性肝癌的重要指标，也用于肝癌术后监测、胎儿神经管畸形筛查</w:t>
            </w:r>
            <w:r>
              <w:rPr>
                <w:rFonts w:hint="eastAsia"/>
              </w:rPr>
              <w:t>。</w:t>
            </w:r>
            <w:r>
              <w:t>正常参考值一般＜25ng/ml（不同检测方法有差异</w:t>
            </w:r>
            <w:r>
              <w:rPr>
                <w:rFonts w:hint="eastAsia"/>
              </w:rPr>
              <w:t>）</w:t>
            </w:r>
            <w:r>
              <w:t>。</w:t>
            </w:r>
          </w:p>
        </w:tc>
      </w:tr>
    </w:tbl>
    <w:p w14:paraId="675E0AFB" w14:textId="77777777" w:rsidR="002A401B" w:rsidRDefault="002A401B" w:rsidP="002A401B">
      <w:pPr>
        <w:pStyle w:val="0"/>
      </w:pPr>
    </w:p>
    <w:p w14:paraId="1DD82982"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652219DF" w14:textId="77777777" w:rsidTr="005971A0">
        <w:trPr>
          <w:trHeight w:hRule="exact" w:val="113"/>
          <w:jc w:val="center"/>
        </w:trPr>
        <w:tc>
          <w:tcPr>
            <w:tcW w:w="1560" w:type="dxa"/>
            <w:gridSpan w:val="2"/>
            <w:tcBorders>
              <w:top w:val="single" w:sz="4" w:space="0" w:color="auto"/>
            </w:tcBorders>
            <w:vAlign w:val="center"/>
          </w:tcPr>
          <w:p w14:paraId="08BD3067"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CF6A087"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C795553"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5CB3BC6"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0C1070C"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38385BAF" w14:textId="77777777" w:rsidR="002A401B" w:rsidRDefault="002A401B" w:rsidP="005971A0">
            <w:pPr>
              <w:spacing w:line="300" w:lineRule="exact"/>
              <w:jc w:val="right"/>
              <w:rPr>
                <w:color w:val="323E4F" w:themeColor="text2" w:themeShade="BF"/>
                <w:sz w:val="2"/>
                <w:szCs w:val="2"/>
              </w:rPr>
            </w:pPr>
          </w:p>
        </w:tc>
      </w:tr>
      <w:tr w:rsidR="002A401B" w14:paraId="7060B4DD" w14:textId="77777777" w:rsidTr="005971A0">
        <w:trPr>
          <w:trHeight w:val="432"/>
          <w:jc w:val="center"/>
        </w:trPr>
        <w:tc>
          <w:tcPr>
            <w:tcW w:w="1150" w:type="dxa"/>
            <w:vAlign w:val="center"/>
          </w:tcPr>
          <w:p w14:paraId="68475CEC"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CEA</w:t>
            </w:r>
          </w:p>
        </w:tc>
        <w:tc>
          <w:tcPr>
            <w:tcW w:w="2536" w:type="dxa"/>
            <w:gridSpan w:val="2"/>
            <w:vAlign w:val="center"/>
          </w:tcPr>
          <w:p w14:paraId="14C4AC91"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癌胚抗原</w:t>
            </w:r>
          </w:p>
        </w:tc>
        <w:tc>
          <w:tcPr>
            <w:tcW w:w="1754" w:type="dxa"/>
            <w:gridSpan w:val="2"/>
            <w:vAlign w:val="center"/>
          </w:tcPr>
          <w:p>
            <w:r>
              <w:t>{{CEA_result}}</w:t>
            </w:r>
          </w:p>
        </w:tc>
        <w:tc>
          <w:tcPr>
            <w:tcW w:w="825" w:type="dxa"/>
            <w:gridSpan w:val="2"/>
            <w:vAlign w:val="center"/>
          </w:tcPr>
          <w:p>
            <w:r>
              <w:t>{{CEA_point}}</w:t>
            </w:r>
          </w:p>
        </w:tc>
        <w:tc>
          <w:tcPr>
            <w:tcW w:w="1980" w:type="dxa"/>
            <w:gridSpan w:val="2"/>
            <w:vAlign w:val="center"/>
          </w:tcPr>
          <w:p>
            <w:r>
              <w:t>{{CEA_refer}}</w:t>
            </w:r>
          </w:p>
        </w:tc>
        <w:tc>
          <w:tcPr>
            <w:tcW w:w="1408" w:type="dxa"/>
            <w:gridSpan w:val="2"/>
            <w:vAlign w:val="center"/>
          </w:tcPr>
          <w:p>
            <w:r>
              <w:t>{{CEA_unit}}</w:t>
            </w:r>
          </w:p>
        </w:tc>
      </w:tr>
      <w:tr w:rsidR="002A401B" w14:paraId="7E63437B" w14:textId="77777777" w:rsidTr="005971A0">
        <w:trPr>
          <w:trHeight w:val="1651"/>
          <w:jc w:val="center"/>
        </w:trPr>
        <w:tc>
          <w:tcPr>
            <w:tcW w:w="9653" w:type="dxa"/>
            <w:gridSpan w:val="11"/>
            <w:vAlign w:val="center"/>
          </w:tcPr>
          <w:p w14:paraId="49078423" w14:textId="77777777" w:rsidR="002A401B" w:rsidRDefault="002A401B" w:rsidP="005971A0">
            <w:r>
              <w:rPr>
                <w:b/>
                <w:bCs/>
              </w:rPr>
              <w:t>Clinical significance:</w:t>
            </w:r>
            <w:r>
              <w:t xml:space="preserve"> A broad-spectrum tumor marker; assists in the diagnosis of colorectal cancer, lung cancer, and breast cancer; evaluates recurrence, metastasis, and prognosis. The normal reference value is generally &lt;5 ng/ml.</w:t>
            </w:r>
          </w:p>
          <w:p w14:paraId="40650450" w14:textId="77777777" w:rsidR="002A401B" w:rsidRDefault="002A401B" w:rsidP="005971A0">
            <w:r>
              <w:rPr>
                <w:b/>
                <w:bCs/>
              </w:rPr>
              <w:t>临床意义：</w:t>
            </w:r>
            <w:r>
              <w:t>广谱肿瘤标志物，辅助诊断结直肠癌、肺癌、乳腺癌等，评估肿瘤复发、转移及预后</w:t>
            </w:r>
            <w:r>
              <w:rPr>
                <w:rFonts w:hint="eastAsia"/>
              </w:rPr>
              <w:t>。</w:t>
            </w:r>
            <w:r>
              <w:t>正常参考值一般＜5ng/ml</w:t>
            </w:r>
            <w:r>
              <w:rPr>
                <w:rFonts w:hint="eastAsia"/>
              </w:rPr>
              <w:t>。</w:t>
            </w:r>
          </w:p>
        </w:tc>
      </w:tr>
    </w:tbl>
    <w:p w14:paraId="4120BE65" w14:textId="77777777" w:rsidR="002A401B" w:rsidRDefault="002A401B" w:rsidP="002A401B">
      <w:pPr>
        <w:pStyle w:val="0"/>
      </w:pPr>
    </w:p>
    <w:p w14:paraId="2034F425"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1A4FA954" w14:textId="77777777" w:rsidTr="005971A0">
        <w:trPr>
          <w:trHeight w:hRule="exact" w:val="113"/>
          <w:jc w:val="center"/>
        </w:trPr>
        <w:tc>
          <w:tcPr>
            <w:tcW w:w="1560" w:type="dxa"/>
            <w:gridSpan w:val="2"/>
            <w:tcBorders>
              <w:top w:val="single" w:sz="4" w:space="0" w:color="auto"/>
            </w:tcBorders>
            <w:vAlign w:val="center"/>
          </w:tcPr>
          <w:p w14:paraId="2A8705E9"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8FA86A7"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E0C6153"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BFE90E2"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008FEE1"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4426A9DF" w14:textId="77777777" w:rsidR="002A401B" w:rsidRDefault="002A401B" w:rsidP="005971A0">
            <w:pPr>
              <w:spacing w:line="300" w:lineRule="exact"/>
              <w:jc w:val="right"/>
              <w:rPr>
                <w:color w:val="323E4F" w:themeColor="text2" w:themeShade="BF"/>
                <w:sz w:val="2"/>
                <w:szCs w:val="2"/>
              </w:rPr>
            </w:pPr>
          </w:p>
        </w:tc>
      </w:tr>
      <w:tr w:rsidR="002A401B" w14:paraId="6175A7D3" w14:textId="77777777" w:rsidTr="005971A0">
        <w:trPr>
          <w:trHeight w:val="432"/>
          <w:jc w:val="center"/>
        </w:trPr>
        <w:tc>
          <w:tcPr>
            <w:tcW w:w="1150" w:type="dxa"/>
            <w:vAlign w:val="center"/>
          </w:tcPr>
          <w:p w14:paraId="7D1FC2C5"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CA19-9</w:t>
            </w:r>
          </w:p>
        </w:tc>
        <w:tc>
          <w:tcPr>
            <w:tcW w:w="2536" w:type="dxa"/>
            <w:gridSpan w:val="2"/>
            <w:vAlign w:val="center"/>
          </w:tcPr>
          <w:p w14:paraId="467FF5CE"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 xml:space="preserve">糖类抗原19-9 </w:t>
            </w:r>
          </w:p>
        </w:tc>
        <w:tc>
          <w:tcPr>
            <w:tcW w:w="1754" w:type="dxa"/>
            <w:gridSpan w:val="2"/>
            <w:vAlign w:val="center"/>
          </w:tcPr>
          <w:p>
            <w:r>
              <w:t>{{CA19_9_result}}</w:t>
            </w:r>
          </w:p>
        </w:tc>
        <w:tc>
          <w:tcPr>
            <w:tcW w:w="825" w:type="dxa"/>
            <w:gridSpan w:val="2"/>
            <w:vAlign w:val="center"/>
          </w:tcPr>
          <w:p>
            <w:r>
              <w:t>{{CA19_9_point}}</w:t>
            </w:r>
          </w:p>
        </w:tc>
        <w:tc>
          <w:tcPr>
            <w:tcW w:w="1980" w:type="dxa"/>
            <w:gridSpan w:val="2"/>
            <w:vAlign w:val="center"/>
          </w:tcPr>
          <w:p>
            <w:r>
              <w:t>{{CA19_9_refer}}</w:t>
            </w:r>
          </w:p>
        </w:tc>
        <w:tc>
          <w:tcPr>
            <w:tcW w:w="1408" w:type="dxa"/>
            <w:gridSpan w:val="2"/>
            <w:vAlign w:val="center"/>
          </w:tcPr>
          <w:p>
            <w:r>
              <w:t>{{CA19_9_unit}}</w:t>
            </w:r>
          </w:p>
        </w:tc>
      </w:tr>
      <w:tr w:rsidR="002A401B" w14:paraId="62927448" w14:textId="77777777" w:rsidTr="005971A0">
        <w:trPr>
          <w:trHeight w:val="1651"/>
          <w:jc w:val="center"/>
        </w:trPr>
        <w:tc>
          <w:tcPr>
            <w:tcW w:w="9653" w:type="dxa"/>
            <w:gridSpan w:val="11"/>
            <w:vAlign w:val="center"/>
          </w:tcPr>
          <w:p w14:paraId="79B43DF0" w14:textId="77777777" w:rsidR="002A401B" w:rsidRDefault="002A401B" w:rsidP="005971A0">
            <w:r>
              <w:rPr>
                <w:b/>
                <w:bCs/>
              </w:rPr>
              <w:t>Clinical significance:</w:t>
            </w:r>
            <w:r>
              <w:t xml:space="preserve"> An important marker for diagnosing pancreatic cancer; also used for auxiliary diagnosis and monitoring of biliary tract cancer and colorectal cancer. The normal reference value is generally &lt;37 U/ml.</w:t>
            </w:r>
          </w:p>
          <w:p w14:paraId="12B91CCC" w14:textId="77777777" w:rsidR="002A401B" w:rsidRDefault="002A401B" w:rsidP="005971A0">
            <w:r>
              <w:rPr>
                <w:b/>
                <w:bCs/>
              </w:rPr>
              <w:t>临床意义：</w:t>
            </w:r>
            <w:r>
              <w:t>诊断胰腺癌的重要指标，也用于胆道癌、结直肠癌等的辅助诊断及病情监测</w:t>
            </w:r>
            <w:r>
              <w:rPr>
                <w:rFonts w:hint="eastAsia"/>
              </w:rPr>
              <w:t>。</w:t>
            </w:r>
            <w:r>
              <w:t>正常参考值一般＜37U/ml</w:t>
            </w:r>
            <w:r>
              <w:rPr>
                <w:rFonts w:hint="eastAsia"/>
              </w:rPr>
              <w:t>。</w:t>
            </w:r>
          </w:p>
        </w:tc>
      </w:tr>
    </w:tbl>
    <w:p w14:paraId="2783D483" w14:textId="77777777" w:rsidR="002A401B" w:rsidRDefault="002A401B" w:rsidP="002A401B">
      <w:pPr>
        <w:pStyle w:val="0"/>
      </w:pPr>
    </w:p>
    <w:p w14:paraId="077C5DB7"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045C9879" w14:textId="77777777" w:rsidTr="005971A0">
        <w:trPr>
          <w:trHeight w:hRule="exact" w:val="113"/>
          <w:jc w:val="center"/>
        </w:trPr>
        <w:tc>
          <w:tcPr>
            <w:tcW w:w="1560" w:type="dxa"/>
            <w:gridSpan w:val="2"/>
            <w:tcBorders>
              <w:top w:val="single" w:sz="4" w:space="0" w:color="auto"/>
            </w:tcBorders>
            <w:vAlign w:val="center"/>
          </w:tcPr>
          <w:p w14:paraId="4923EAD4"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1F4AD72"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2AEAD81"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2430575"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03530F3"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13A38CC8" w14:textId="77777777" w:rsidR="002A401B" w:rsidRDefault="002A401B" w:rsidP="005971A0">
            <w:pPr>
              <w:spacing w:line="300" w:lineRule="exact"/>
              <w:jc w:val="right"/>
              <w:rPr>
                <w:color w:val="323E4F" w:themeColor="text2" w:themeShade="BF"/>
                <w:sz w:val="2"/>
                <w:szCs w:val="2"/>
              </w:rPr>
            </w:pPr>
          </w:p>
        </w:tc>
      </w:tr>
      <w:tr w:rsidR="002A401B" w14:paraId="1DB56386" w14:textId="77777777" w:rsidTr="005971A0">
        <w:trPr>
          <w:trHeight w:val="432"/>
          <w:jc w:val="center"/>
        </w:trPr>
        <w:tc>
          <w:tcPr>
            <w:tcW w:w="1150" w:type="dxa"/>
            <w:vAlign w:val="center"/>
          </w:tcPr>
          <w:p w14:paraId="6F520432"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Fer</w:t>
            </w:r>
          </w:p>
        </w:tc>
        <w:tc>
          <w:tcPr>
            <w:tcW w:w="2536" w:type="dxa"/>
            <w:gridSpan w:val="2"/>
            <w:vAlign w:val="center"/>
          </w:tcPr>
          <w:p w14:paraId="3877E4F0"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铁蛋白</w:t>
            </w:r>
          </w:p>
        </w:tc>
        <w:tc>
          <w:tcPr>
            <w:tcW w:w="1754" w:type="dxa"/>
            <w:gridSpan w:val="2"/>
            <w:vAlign w:val="center"/>
          </w:tcPr>
          <w:p>
            <w:r>
              <w:t>{{FER_result}}</w:t>
            </w:r>
          </w:p>
        </w:tc>
        <w:tc>
          <w:tcPr>
            <w:tcW w:w="825" w:type="dxa"/>
            <w:gridSpan w:val="2"/>
            <w:vAlign w:val="center"/>
          </w:tcPr>
          <w:p>
            <w:r>
              <w:t>{{FER_point}}</w:t>
            </w:r>
          </w:p>
        </w:tc>
        <w:tc>
          <w:tcPr>
            <w:tcW w:w="1980" w:type="dxa"/>
            <w:gridSpan w:val="2"/>
            <w:vAlign w:val="center"/>
          </w:tcPr>
          <w:p>
            <w:r>
              <w:t>{{FER_refer}}</w:t>
            </w:r>
          </w:p>
        </w:tc>
        <w:tc>
          <w:tcPr>
            <w:tcW w:w="1408" w:type="dxa"/>
            <w:gridSpan w:val="2"/>
            <w:vAlign w:val="center"/>
          </w:tcPr>
          <w:p>
            <w:r>
              <w:t>{{FER_unit}}</w:t>
            </w:r>
          </w:p>
        </w:tc>
      </w:tr>
      <w:tr w:rsidR="002A401B" w14:paraId="250914C7" w14:textId="77777777" w:rsidTr="005971A0">
        <w:trPr>
          <w:trHeight w:val="1651"/>
          <w:jc w:val="center"/>
        </w:trPr>
        <w:tc>
          <w:tcPr>
            <w:tcW w:w="9653" w:type="dxa"/>
            <w:gridSpan w:val="11"/>
            <w:vAlign w:val="center"/>
          </w:tcPr>
          <w:p w14:paraId="52B7D58F" w14:textId="77777777" w:rsidR="002A401B" w:rsidRDefault="002A401B" w:rsidP="005971A0">
            <w:r>
              <w:rPr>
                <w:b/>
                <w:bCs/>
              </w:rPr>
              <w:lastRenderedPageBreak/>
              <w:t>Clinical significance:</w:t>
            </w:r>
            <w:r>
              <w:t xml:space="preserve"> (As mentioned previously in the inflammatory response section, here focusing on tumor association) In addition to reflecting iron storage and inflammation, it is also tumor-related, as tumor cells can synthesize ferritin. The normal reference value varies by method (adult males: 30–400 ng/ml, females: 20–300 ng/ml).</w:t>
            </w:r>
          </w:p>
          <w:p w14:paraId="7188B809" w14:textId="77777777" w:rsidR="002A401B" w:rsidRDefault="002A401B" w:rsidP="005971A0">
            <w:r>
              <w:rPr>
                <w:b/>
                <w:bCs/>
              </w:rPr>
              <w:t>临床意义：</w:t>
            </w:r>
            <w:r>
              <w:t>（前文炎症反应中已提及，此处侧重肿瘤相关</w:t>
            </w:r>
            <w:r>
              <w:rPr>
                <w:rFonts w:hint="eastAsia"/>
              </w:rPr>
              <w:t>）</w:t>
            </w:r>
            <w:r>
              <w:t>除反映铁储备、炎症，也与肿瘤相关，肿瘤细胞可合成铁蛋白，正常参考值因检测方法而异（成人男性 30 - 400ng/ml，女性 20 - 300ng/ml</w:t>
            </w:r>
            <w:r>
              <w:rPr>
                <w:rFonts w:hint="eastAsia"/>
              </w:rPr>
              <w:t>）</w:t>
            </w:r>
            <w:r>
              <w:t>。</w:t>
            </w:r>
          </w:p>
        </w:tc>
      </w:tr>
    </w:tbl>
    <w:p w14:paraId="686ED229"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6849E431" w14:textId="77777777" w:rsidTr="005971A0">
        <w:trPr>
          <w:trHeight w:hRule="exact" w:val="113"/>
          <w:jc w:val="center"/>
        </w:trPr>
        <w:tc>
          <w:tcPr>
            <w:tcW w:w="1560" w:type="dxa"/>
            <w:gridSpan w:val="2"/>
            <w:tcBorders>
              <w:top w:val="single" w:sz="4" w:space="0" w:color="auto"/>
            </w:tcBorders>
            <w:vAlign w:val="center"/>
          </w:tcPr>
          <w:p w14:paraId="7E814DC0"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190BD4E"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8BB2B3B"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F7664BA"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C031BCC"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0E4E2E10" w14:textId="77777777" w:rsidR="002A401B" w:rsidRDefault="002A401B" w:rsidP="005971A0">
            <w:pPr>
              <w:spacing w:line="300" w:lineRule="exact"/>
              <w:jc w:val="right"/>
              <w:rPr>
                <w:color w:val="323E4F" w:themeColor="text2" w:themeShade="BF"/>
                <w:sz w:val="2"/>
                <w:szCs w:val="2"/>
              </w:rPr>
            </w:pPr>
          </w:p>
        </w:tc>
      </w:tr>
      <w:tr w:rsidR="002A401B" w14:paraId="6D9E341D" w14:textId="77777777" w:rsidTr="005971A0">
        <w:trPr>
          <w:trHeight w:val="432"/>
          <w:jc w:val="center"/>
        </w:trPr>
        <w:tc>
          <w:tcPr>
            <w:tcW w:w="1150" w:type="dxa"/>
            <w:vAlign w:val="center"/>
          </w:tcPr>
          <w:p w14:paraId="75C41778"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NES</w:t>
            </w:r>
          </w:p>
        </w:tc>
        <w:tc>
          <w:tcPr>
            <w:tcW w:w="2536" w:type="dxa"/>
            <w:gridSpan w:val="2"/>
            <w:vAlign w:val="center"/>
          </w:tcPr>
          <w:p w14:paraId="7EC55778"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神经元特异性烯醇化酶</w:t>
            </w:r>
          </w:p>
        </w:tc>
        <w:tc>
          <w:tcPr>
            <w:tcW w:w="1754" w:type="dxa"/>
            <w:gridSpan w:val="2"/>
            <w:vAlign w:val="center"/>
          </w:tcPr>
          <w:p w14:paraId="73B9809D" w14:textId="77777777" w:rsidR="002A401B" w:rsidRDefault="002A401B" w:rsidP="005971A0">
            <w:pPr>
              <w:spacing w:line="400" w:lineRule="exact"/>
              <w:jc w:val="center"/>
              <w:rPr>
                <w:b/>
                <w:bCs/>
                <w:color w:val="000000" w:themeColor="text1"/>
                <w:sz w:val="24"/>
              </w:rPr>
            </w:pPr>
          </w:p>
        </w:tc>
        <w:tc>
          <w:tcPr>
            <w:tcW w:w="825" w:type="dxa"/>
            <w:gridSpan w:val="2"/>
            <w:vAlign w:val="center"/>
          </w:tcPr>
          <w:p w14:paraId="2E880823" w14:textId="77777777" w:rsidR="002A401B" w:rsidRDefault="002A401B" w:rsidP="005971A0">
            <w:pPr>
              <w:spacing w:line="400" w:lineRule="exact"/>
              <w:jc w:val="center"/>
              <w:rPr>
                <w:b/>
                <w:bCs/>
                <w:color w:val="000000" w:themeColor="text1"/>
                <w:sz w:val="24"/>
              </w:rPr>
            </w:pPr>
          </w:p>
        </w:tc>
        <w:tc>
          <w:tcPr>
            <w:tcW w:w="1980" w:type="dxa"/>
            <w:gridSpan w:val="2"/>
            <w:vAlign w:val="center"/>
          </w:tcPr>
          <w:p w14:paraId="33ACFF5B" w14:textId="77777777" w:rsidR="002A401B" w:rsidRDefault="002A401B" w:rsidP="005971A0">
            <w:pPr>
              <w:spacing w:line="400" w:lineRule="exact"/>
              <w:jc w:val="center"/>
              <w:rPr>
                <w:b/>
                <w:bCs/>
                <w:color w:val="000000" w:themeColor="text1"/>
                <w:sz w:val="24"/>
              </w:rPr>
            </w:pPr>
          </w:p>
        </w:tc>
        <w:tc>
          <w:tcPr>
            <w:tcW w:w="1408" w:type="dxa"/>
            <w:gridSpan w:val="2"/>
            <w:vAlign w:val="center"/>
          </w:tcPr>
          <w:p w14:paraId="0ECD1B55" w14:textId="77777777" w:rsidR="002A401B" w:rsidRDefault="002A401B" w:rsidP="005971A0">
            <w:pPr>
              <w:spacing w:line="400" w:lineRule="exact"/>
              <w:jc w:val="center"/>
              <w:rPr>
                <w:b/>
                <w:bCs/>
                <w:color w:val="000000" w:themeColor="text1"/>
                <w:sz w:val="24"/>
              </w:rPr>
            </w:pPr>
          </w:p>
        </w:tc>
      </w:tr>
      <w:tr w:rsidR="002A401B" w14:paraId="290D91F7" w14:textId="77777777" w:rsidTr="005971A0">
        <w:trPr>
          <w:trHeight w:val="1651"/>
          <w:jc w:val="center"/>
        </w:trPr>
        <w:tc>
          <w:tcPr>
            <w:tcW w:w="9653" w:type="dxa"/>
            <w:gridSpan w:val="11"/>
            <w:vAlign w:val="center"/>
          </w:tcPr>
          <w:p w14:paraId="69422B21" w14:textId="77777777" w:rsidR="002A401B" w:rsidRDefault="002A401B" w:rsidP="005971A0">
            <w:r>
              <w:rPr>
                <w:b/>
                <w:bCs/>
              </w:rPr>
              <w:t>Clinical significance:</w:t>
            </w:r>
            <w:r>
              <w:t xml:space="preserve"> A specific marker for diagnosing small cell lung cancer and neuroblastoma; used to evaluate treatment efficacy and recurrence. The normal reference value is generally &lt;16.3 ng/ml.</w:t>
            </w:r>
          </w:p>
          <w:p w14:paraId="2A7D6EBA" w14:textId="77777777" w:rsidR="002A401B" w:rsidRDefault="002A401B" w:rsidP="005971A0">
            <w:r>
              <w:rPr>
                <w:b/>
                <w:bCs/>
              </w:rPr>
              <w:t>临床意义：</w:t>
            </w:r>
            <w:r>
              <w:t>诊断小细胞肺癌、神经母细胞瘤的特异性指标，评估肿瘤疗效及复发</w:t>
            </w:r>
            <w:r>
              <w:rPr>
                <w:rFonts w:hint="eastAsia"/>
              </w:rPr>
              <w:t>。</w:t>
            </w:r>
            <w:r>
              <w:t>正常参考值一般＜16.3ng/ml</w:t>
            </w:r>
            <w:r>
              <w:rPr>
                <w:rFonts w:hint="eastAsia"/>
              </w:rPr>
              <w:t>。</w:t>
            </w:r>
          </w:p>
        </w:tc>
      </w:tr>
    </w:tbl>
    <w:p w14:paraId="08A573A5" w14:textId="77777777" w:rsidR="002A401B" w:rsidRDefault="002A401B" w:rsidP="002A401B">
      <w:pPr>
        <w:pStyle w:val="0"/>
      </w:pPr>
    </w:p>
    <w:p w14:paraId="4E523C49"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4A15BC50" w14:textId="77777777" w:rsidTr="005971A0">
        <w:trPr>
          <w:trHeight w:hRule="exact" w:val="113"/>
          <w:jc w:val="center"/>
        </w:trPr>
        <w:tc>
          <w:tcPr>
            <w:tcW w:w="1560" w:type="dxa"/>
            <w:gridSpan w:val="2"/>
            <w:tcBorders>
              <w:top w:val="single" w:sz="4" w:space="0" w:color="auto"/>
            </w:tcBorders>
            <w:vAlign w:val="center"/>
          </w:tcPr>
          <w:p w14:paraId="43DF90F7"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2C92267"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939BEFB"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7607CE0"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BA3611C"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05D150CF" w14:textId="77777777" w:rsidR="002A401B" w:rsidRDefault="002A401B" w:rsidP="005971A0">
            <w:pPr>
              <w:spacing w:line="300" w:lineRule="exact"/>
              <w:jc w:val="right"/>
              <w:rPr>
                <w:color w:val="323E4F" w:themeColor="text2" w:themeShade="BF"/>
                <w:sz w:val="2"/>
                <w:szCs w:val="2"/>
              </w:rPr>
            </w:pPr>
          </w:p>
        </w:tc>
      </w:tr>
      <w:tr w:rsidR="002A401B" w14:paraId="510C9249" w14:textId="77777777" w:rsidTr="005971A0">
        <w:trPr>
          <w:trHeight w:val="432"/>
          <w:jc w:val="center"/>
        </w:trPr>
        <w:tc>
          <w:tcPr>
            <w:tcW w:w="1150" w:type="dxa"/>
            <w:vAlign w:val="center"/>
          </w:tcPr>
          <w:p w14:paraId="3EE61BDC"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Tg</w:t>
            </w:r>
          </w:p>
        </w:tc>
        <w:tc>
          <w:tcPr>
            <w:tcW w:w="2536" w:type="dxa"/>
            <w:gridSpan w:val="2"/>
            <w:vAlign w:val="center"/>
          </w:tcPr>
          <w:p w14:paraId="1CC795C0"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甲状腺球蛋白</w:t>
            </w:r>
          </w:p>
        </w:tc>
        <w:tc>
          <w:tcPr>
            <w:tcW w:w="1754" w:type="dxa"/>
            <w:gridSpan w:val="2"/>
            <w:vAlign w:val="center"/>
          </w:tcPr>
          <w:p>
            <w:r>
              <w:t>{{TG_result}}</w:t>
            </w:r>
          </w:p>
        </w:tc>
        <w:tc>
          <w:tcPr>
            <w:tcW w:w="825" w:type="dxa"/>
            <w:gridSpan w:val="2"/>
            <w:vAlign w:val="center"/>
          </w:tcPr>
          <w:p>
            <w:r>
              <w:t>{{TG_point}}</w:t>
            </w:r>
          </w:p>
        </w:tc>
        <w:tc>
          <w:tcPr>
            <w:tcW w:w="1980" w:type="dxa"/>
            <w:gridSpan w:val="2"/>
            <w:vAlign w:val="center"/>
          </w:tcPr>
          <w:p>
            <w:r>
              <w:t>{{TG_refer}}</w:t>
            </w:r>
          </w:p>
        </w:tc>
        <w:tc>
          <w:tcPr>
            <w:tcW w:w="1408" w:type="dxa"/>
            <w:gridSpan w:val="2"/>
            <w:vAlign w:val="center"/>
          </w:tcPr>
          <w:p>
            <w:r>
              <w:t>{{TG_unit}}</w:t>
            </w:r>
          </w:p>
        </w:tc>
      </w:tr>
      <w:tr w:rsidR="002A401B" w14:paraId="7AAE72C7" w14:textId="77777777" w:rsidTr="005971A0">
        <w:trPr>
          <w:trHeight w:val="1651"/>
          <w:jc w:val="center"/>
        </w:trPr>
        <w:tc>
          <w:tcPr>
            <w:tcW w:w="9653" w:type="dxa"/>
            <w:gridSpan w:val="11"/>
            <w:vAlign w:val="center"/>
          </w:tcPr>
          <w:p w14:paraId="6A54D495" w14:textId="77777777" w:rsidR="002A401B" w:rsidRDefault="002A401B" w:rsidP="005971A0">
            <w:r>
              <w:rPr>
                <w:b/>
                <w:bCs/>
              </w:rPr>
              <w:t>Clinical significance:</w:t>
            </w:r>
            <w:r>
              <w:t xml:space="preserve"> An important marker for diagnosing differentiated thyroid carcinoma (such as papillary carcinoma and follicular carcinoma); used for postoperative monitoring of recurrence and metastasis (requires combination with thyroglobulin antibody, TgAb). Normal reference value: &lt;1 ng/ml after total thyroidectomy; &lt;40 ng/ml with intact thyroid tissue or in normal thyroid (method-dependent).</w:t>
            </w:r>
          </w:p>
          <w:p w14:paraId="536C3EB4" w14:textId="77777777" w:rsidR="002A401B" w:rsidRDefault="002A401B" w:rsidP="005971A0">
            <w:r>
              <w:rPr>
                <w:b/>
                <w:bCs/>
              </w:rPr>
              <w:t>临床意义：</w:t>
            </w:r>
            <w:r>
              <w:t>诊断分化型甲状腺癌（如乳头状癌、滤泡状癌</w:t>
            </w:r>
            <w:r>
              <w:rPr>
                <w:rFonts w:hint="eastAsia"/>
              </w:rPr>
              <w:t>）</w:t>
            </w:r>
            <w:r>
              <w:t>的重要指标，用于术后复发、转移监测（需结合甲状腺球蛋白抗体（TgAb）</w:t>
            </w:r>
            <w:r>
              <w:rPr>
                <w:rFonts w:hint="eastAsia"/>
              </w:rPr>
              <w:t>）</w:t>
            </w:r>
            <w:r>
              <w:t>。正常参考值：甲状腺全切术后＜1ng/ml，未全切或正常甲状腺一般＜40ng/ml（不同检测方法有差异</w:t>
            </w:r>
            <w:r>
              <w:rPr>
                <w:rFonts w:hint="eastAsia"/>
              </w:rPr>
              <w:t>）</w:t>
            </w:r>
            <w:r>
              <w:t>。</w:t>
            </w:r>
          </w:p>
        </w:tc>
      </w:tr>
    </w:tbl>
    <w:p w14:paraId="11763202" w14:textId="77777777" w:rsidR="002A401B" w:rsidRDefault="002A401B" w:rsidP="002A401B">
      <w:pPr>
        <w:pStyle w:val="0"/>
      </w:pPr>
    </w:p>
    <w:p w14:paraId="7E6937FC"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0DDAF987" w14:textId="77777777" w:rsidTr="005971A0">
        <w:trPr>
          <w:trHeight w:hRule="exact" w:val="113"/>
          <w:jc w:val="center"/>
        </w:trPr>
        <w:tc>
          <w:tcPr>
            <w:tcW w:w="1560" w:type="dxa"/>
            <w:gridSpan w:val="2"/>
            <w:tcBorders>
              <w:top w:val="single" w:sz="4" w:space="0" w:color="auto"/>
            </w:tcBorders>
            <w:vAlign w:val="center"/>
          </w:tcPr>
          <w:p w14:paraId="2595C6C5"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DF72F95"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EE953EE"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8457B0C"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C8E4DEF"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4A5083BE" w14:textId="77777777" w:rsidR="002A401B" w:rsidRDefault="002A401B" w:rsidP="005971A0">
            <w:pPr>
              <w:spacing w:line="300" w:lineRule="exact"/>
              <w:jc w:val="right"/>
              <w:rPr>
                <w:color w:val="323E4F" w:themeColor="text2" w:themeShade="BF"/>
                <w:sz w:val="2"/>
                <w:szCs w:val="2"/>
              </w:rPr>
            </w:pPr>
          </w:p>
        </w:tc>
      </w:tr>
      <w:tr w:rsidR="002A401B" w14:paraId="265CBC77" w14:textId="77777777" w:rsidTr="005971A0">
        <w:trPr>
          <w:trHeight w:val="432"/>
          <w:jc w:val="center"/>
        </w:trPr>
        <w:tc>
          <w:tcPr>
            <w:tcW w:w="1150" w:type="dxa"/>
            <w:vAlign w:val="center"/>
          </w:tcPr>
          <w:p w14:paraId="24A359EE"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CT</w:t>
            </w:r>
          </w:p>
        </w:tc>
        <w:tc>
          <w:tcPr>
            <w:tcW w:w="2536" w:type="dxa"/>
            <w:gridSpan w:val="2"/>
            <w:vAlign w:val="center"/>
          </w:tcPr>
          <w:p w14:paraId="29BDC78B"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降钙素</w:t>
            </w:r>
          </w:p>
        </w:tc>
        <w:tc>
          <w:tcPr>
            <w:tcW w:w="1754" w:type="dxa"/>
            <w:gridSpan w:val="2"/>
            <w:vAlign w:val="center"/>
          </w:tcPr>
          <w:p>
            <w:r>
              <w:t>{{CT_result}}</w:t>
            </w:r>
          </w:p>
        </w:tc>
        <w:tc>
          <w:tcPr>
            <w:tcW w:w="825" w:type="dxa"/>
            <w:gridSpan w:val="2"/>
            <w:vAlign w:val="center"/>
          </w:tcPr>
          <w:p>
            <w:r>
              <w:t>{{CT_point}}</w:t>
            </w:r>
          </w:p>
        </w:tc>
        <w:tc>
          <w:tcPr>
            <w:tcW w:w="1980" w:type="dxa"/>
            <w:gridSpan w:val="2"/>
            <w:vAlign w:val="center"/>
          </w:tcPr>
          <w:p>
            <w:r>
              <w:t>{{CT_refer}}</w:t>
            </w:r>
          </w:p>
        </w:tc>
        <w:tc>
          <w:tcPr>
            <w:tcW w:w="1408" w:type="dxa"/>
            <w:gridSpan w:val="2"/>
            <w:vAlign w:val="center"/>
          </w:tcPr>
          <w:p>
            <w:r>
              <w:t>{{CT_unit}}</w:t>
            </w:r>
          </w:p>
        </w:tc>
      </w:tr>
      <w:tr w:rsidR="002A401B" w14:paraId="1CD411A8" w14:textId="77777777" w:rsidTr="005971A0">
        <w:trPr>
          <w:trHeight w:val="1651"/>
          <w:jc w:val="center"/>
        </w:trPr>
        <w:tc>
          <w:tcPr>
            <w:tcW w:w="9653" w:type="dxa"/>
            <w:gridSpan w:val="11"/>
            <w:vAlign w:val="center"/>
          </w:tcPr>
          <w:p w14:paraId="4EB6EC3C" w14:textId="77777777" w:rsidR="002A401B" w:rsidRDefault="002A401B" w:rsidP="005971A0">
            <w:r>
              <w:rPr>
                <w:b/>
                <w:bCs/>
              </w:rPr>
              <w:t>Clinical significance:</w:t>
            </w:r>
            <w:r>
              <w:t xml:space="preserve"> A specific marker for diagnosing medullary thyroid carcinoma; used to evaluate tumor secretory function and monitor disease status. The normal reference value is generally &lt;100 pg/ml (method-dependent).</w:t>
            </w:r>
          </w:p>
          <w:p w14:paraId="5A918CD1" w14:textId="77777777" w:rsidR="002A401B" w:rsidRDefault="002A401B" w:rsidP="005971A0">
            <w:r>
              <w:rPr>
                <w:b/>
                <w:bCs/>
              </w:rPr>
              <w:t>临床意义：</w:t>
            </w:r>
            <w:r>
              <w:t>诊断甲状腺髓样癌的特异性指标，评估肿瘤分泌功能及病情监测</w:t>
            </w:r>
            <w:r>
              <w:rPr>
                <w:rFonts w:hint="eastAsia"/>
              </w:rPr>
              <w:t>。</w:t>
            </w:r>
            <w:r>
              <w:t>正常参考值一般＜100pg/ml（不同检测方法有差异</w:t>
            </w:r>
            <w:r>
              <w:rPr>
                <w:rFonts w:hint="eastAsia"/>
              </w:rPr>
              <w:t>）</w:t>
            </w:r>
            <w:r>
              <w:t>。</w:t>
            </w:r>
          </w:p>
        </w:tc>
      </w:tr>
    </w:tbl>
    <w:p w14:paraId="0EB62ACF" w14:textId="77777777" w:rsidR="002A401B" w:rsidRDefault="002A401B" w:rsidP="002A401B">
      <w:pPr>
        <w:pStyle w:val="0"/>
      </w:pPr>
    </w:p>
    <w:p w14:paraId="7D94F354"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7003EE21" w14:textId="77777777" w:rsidTr="005971A0">
        <w:trPr>
          <w:trHeight w:hRule="exact" w:val="113"/>
          <w:jc w:val="center"/>
        </w:trPr>
        <w:tc>
          <w:tcPr>
            <w:tcW w:w="1560" w:type="dxa"/>
            <w:gridSpan w:val="2"/>
            <w:tcBorders>
              <w:top w:val="single" w:sz="4" w:space="0" w:color="auto"/>
            </w:tcBorders>
            <w:vAlign w:val="center"/>
          </w:tcPr>
          <w:p w14:paraId="5647DD31"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DFD8E6C"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34D951C"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25E1EC6"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FCF7656"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74FB8400" w14:textId="77777777" w:rsidR="002A401B" w:rsidRDefault="002A401B" w:rsidP="005971A0">
            <w:pPr>
              <w:spacing w:line="300" w:lineRule="exact"/>
              <w:jc w:val="right"/>
              <w:rPr>
                <w:color w:val="323E4F" w:themeColor="text2" w:themeShade="BF"/>
                <w:sz w:val="2"/>
                <w:szCs w:val="2"/>
              </w:rPr>
            </w:pPr>
          </w:p>
        </w:tc>
      </w:tr>
      <w:tr w:rsidR="002A401B" w14:paraId="390FD945" w14:textId="77777777" w:rsidTr="005971A0">
        <w:trPr>
          <w:trHeight w:val="432"/>
          <w:jc w:val="center"/>
        </w:trPr>
        <w:tc>
          <w:tcPr>
            <w:tcW w:w="1150" w:type="dxa"/>
            <w:vAlign w:val="center"/>
          </w:tcPr>
          <w:p w14:paraId="61D36B09"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EA-IgA</w:t>
            </w:r>
          </w:p>
        </w:tc>
        <w:tc>
          <w:tcPr>
            <w:tcW w:w="2536" w:type="dxa"/>
            <w:gridSpan w:val="2"/>
            <w:vAlign w:val="center"/>
          </w:tcPr>
          <w:p w14:paraId="06BE2CA3"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EB病毒早期抗原IgA</w:t>
            </w:r>
            <w:r>
              <w:rPr>
                <w:rFonts w:hint="eastAsia"/>
                <w:b/>
                <w:bCs/>
                <w:color w:val="000000" w:themeColor="text1"/>
                <w:sz w:val="24"/>
              </w:rPr>
              <w:lastRenderedPageBreak/>
              <w:t>抗体</w:t>
            </w:r>
          </w:p>
        </w:tc>
        <w:tc>
          <w:tcPr>
            <w:tcW w:w="1754" w:type="dxa"/>
            <w:gridSpan w:val="2"/>
            <w:vAlign w:val="center"/>
          </w:tcPr>
          <w:p>
            <w:r>
              <w:t>{{EA_IGA_result}}</w:t>
            </w:r>
          </w:p>
        </w:tc>
        <w:tc>
          <w:tcPr>
            <w:tcW w:w="825" w:type="dxa"/>
            <w:gridSpan w:val="2"/>
            <w:vAlign w:val="center"/>
          </w:tcPr>
          <w:p>
            <w:r>
              <w:t>{{EA_IGA_point}}</w:t>
            </w:r>
          </w:p>
        </w:tc>
        <w:tc>
          <w:tcPr>
            <w:tcW w:w="1980" w:type="dxa"/>
            <w:gridSpan w:val="2"/>
            <w:vAlign w:val="center"/>
          </w:tcPr>
          <w:p>
            <w:r>
              <w:t>{{EA_IGA_refer}}</w:t>
            </w:r>
          </w:p>
        </w:tc>
        <w:tc>
          <w:tcPr>
            <w:tcW w:w="1408" w:type="dxa"/>
            <w:gridSpan w:val="2"/>
            <w:vAlign w:val="center"/>
          </w:tcPr>
          <w:p>
            <w:r>
              <w:t>{{EA_IGA_unit}}</w:t>
            </w:r>
          </w:p>
        </w:tc>
      </w:tr>
      <w:tr w:rsidR="002A401B" w14:paraId="77F34419" w14:textId="77777777" w:rsidTr="005971A0">
        <w:trPr>
          <w:trHeight w:val="1651"/>
          <w:jc w:val="center"/>
        </w:trPr>
        <w:tc>
          <w:tcPr>
            <w:tcW w:w="9653" w:type="dxa"/>
            <w:gridSpan w:val="11"/>
            <w:vAlign w:val="center"/>
          </w:tcPr>
          <w:p w14:paraId="300F0FDF" w14:textId="77777777" w:rsidR="002A401B" w:rsidRDefault="002A401B" w:rsidP="005971A0"/>
          <w:p w14:paraId="4CE0B5C1" w14:textId="77777777" w:rsidR="002A401B" w:rsidRDefault="002A401B" w:rsidP="005971A0">
            <w:r>
              <w:rPr>
                <w:b/>
                <w:bCs/>
              </w:rPr>
              <w:t>Clinical significance:</w:t>
            </w:r>
            <w:r>
              <w:t xml:space="preserve"> An auxiliary marker for diagnosing nasopharyngeal carcinoma, with a high EA-IgA positivity rate in patients; used for screening and monitoring disease status. The normal reference value is generally negative.</w:t>
            </w:r>
          </w:p>
          <w:p w14:paraId="63A97B7D" w14:textId="77777777" w:rsidR="002A401B" w:rsidRDefault="002A401B" w:rsidP="005971A0">
            <w:r>
              <w:rPr>
                <w:b/>
                <w:bCs/>
              </w:rPr>
              <w:t>临床意义：</w:t>
            </w:r>
            <w:r>
              <w:t>辅助诊断鼻咽癌，鼻咽癌患者中EA-IgA阳性率较高，用于鼻咽癌筛查、病情监测</w:t>
            </w:r>
            <w:r>
              <w:rPr>
                <w:rFonts w:hint="eastAsia"/>
              </w:rPr>
              <w:t>。</w:t>
            </w:r>
            <w:r>
              <w:t>正常参考值一般为阴性</w:t>
            </w:r>
            <w:r>
              <w:rPr>
                <w:rFonts w:hint="eastAsia"/>
              </w:rPr>
              <w:t>。</w:t>
            </w:r>
          </w:p>
        </w:tc>
      </w:tr>
    </w:tbl>
    <w:p w14:paraId="4A885D2E" w14:textId="77777777" w:rsidR="002A401B" w:rsidRDefault="002A401B" w:rsidP="002A401B">
      <w:pPr>
        <w:pStyle w:val="0"/>
      </w:pPr>
    </w:p>
    <w:p w14:paraId="6C6B8F57"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4E15E658" w14:textId="77777777" w:rsidTr="005971A0">
        <w:trPr>
          <w:trHeight w:hRule="exact" w:val="113"/>
          <w:jc w:val="center"/>
        </w:trPr>
        <w:tc>
          <w:tcPr>
            <w:tcW w:w="1560" w:type="dxa"/>
            <w:gridSpan w:val="2"/>
            <w:tcBorders>
              <w:top w:val="single" w:sz="4" w:space="0" w:color="auto"/>
            </w:tcBorders>
            <w:vAlign w:val="center"/>
          </w:tcPr>
          <w:p w14:paraId="7566F071"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9231837"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2649E85"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9221210"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B1B96B2"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6C713547" w14:textId="77777777" w:rsidR="002A401B" w:rsidRDefault="002A401B" w:rsidP="005971A0">
            <w:pPr>
              <w:spacing w:line="300" w:lineRule="exact"/>
              <w:jc w:val="right"/>
              <w:rPr>
                <w:color w:val="323E4F" w:themeColor="text2" w:themeShade="BF"/>
                <w:sz w:val="2"/>
                <w:szCs w:val="2"/>
              </w:rPr>
            </w:pPr>
          </w:p>
        </w:tc>
      </w:tr>
      <w:tr w:rsidR="002A401B" w14:paraId="1C159019" w14:textId="77777777" w:rsidTr="005971A0">
        <w:trPr>
          <w:trHeight w:val="432"/>
          <w:jc w:val="center"/>
        </w:trPr>
        <w:tc>
          <w:tcPr>
            <w:tcW w:w="1150" w:type="dxa"/>
            <w:vAlign w:val="center"/>
          </w:tcPr>
          <w:p w14:paraId="39329A0E"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TPSA</w:t>
            </w:r>
          </w:p>
        </w:tc>
        <w:tc>
          <w:tcPr>
            <w:tcW w:w="2536" w:type="dxa"/>
            <w:gridSpan w:val="2"/>
            <w:vAlign w:val="center"/>
          </w:tcPr>
          <w:p w14:paraId="654CEDFD"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男-总前列腺特异性抗原</w:t>
            </w:r>
          </w:p>
        </w:tc>
        <w:tc>
          <w:tcPr>
            <w:tcW w:w="1754" w:type="dxa"/>
            <w:gridSpan w:val="2"/>
            <w:vAlign w:val="center"/>
          </w:tcPr>
          <w:p>
            <w:r>
              <w:t>{{TPSA_result}}</w:t>
            </w:r>
          </w:p>
        </w:tc>
        <w:tc>
          <w:tcPr>
            <w:tcW w:w="825" w:type="dxa"/>
            <w:gridSpan w:val="2"/>
            <w:vAlign w:val="center"/>
          </w:tcPr>
          <w:p>
            <w:r>
              <w:t>{{TPSA_point}}</w:t>
            </w:r>
          </w:p>
        </w:tc>
        <w:tc>
          <w:tcPr>
            <w:tcW w:w="1980" w:type="dxa"/>
            <w:gridSpan w:val="2"/>
            <w:vAlign w:val="center"/>
          </w:tcPr>
          <w:p>
            <w:r>
              <w:t>{{TPSA_refer}}</w:t>
            </w:r>
          </w:p>
        </w:tc>
        <w:tc>
          <w:tcPr>
            <w:tcW w:w="1408" w:type="dxa"/>
            <w:gridSpan w:val="2"/>
            <w:vAlign w:val="center"/>
          </w:tcPr>
          <w:p>
            <w:r>
              <w:t>{{TPSA_unit}}</w:t>
            </w:r>
          </w:p>
        </w:tc>
      </w:tr>
      <w:tr w:rsidR="002A401B" w14:paraId="51DC5304" w14:textId="77777777" w:rsidTr="005971A0">
        <w:trPr>
          <w:trHeight w:val="1651"/>
          <w:jc w:val="center"/>
        </w:trPr>
        <w:tc>
          <w:tcPr>
            <w:tcW w:w="9653" w:type="dxa"/>
            <w:gridSpan w:val="11"/>
            <w:vAlign w:val="center"/>
          </w:tcPr>
          <w:p w14:paraId="0245C615" w14:textId="77777777" w:rsidR="002A401B" w:rsidRDefault="002A401B" w:rsidP="005971A0">
            <w:r>
              <w:rPr>
                <w:b/>
                <w:bCs/>
              </w:rPr>
              <w:t>Clinical significance:</w:t>
            </w:r>
            <w:r>
              <w:t xml:space="preserve"> An important marker for diagnosing prostate cancer; used for screening, staging, prognosis, and recurrence monitoring. Normal reference value: &lt;4 ng/ml (for men &gt;40 years old); the cutoff may be slightly adjusted for those over 50 years, but generally &lt;4 ng/ml.</w:t>
            </w:r>
          </w:p>
          <w:p w14:paraId="49CCD38B" w14:textId="77777777" w:rsidR="002A401B" w:rsidRDefault="002A401B" w:rsidP="005971A0">
            <w:r>
              <w:rPr>
                <w:b/>
                <w:bCs/>
              </w:rPr>
              <w:t>临床意义：</w:t>
            </w:r>
            <w:r>
              <w:t>诊断前列腺癌的重要指标，用于前列腺癌筛查、分期、预后及复发监测</w:t>
            </w:r>
            <w:r>
              <w:rPr>
                <w:rFonts w:hint="eastAsia"/>
              </w:rPr>
              <w:t>。</w:t>
            </w:r>
            <w:r>
              <w:t>正常参考值：＜4ng/ml（40岁以上男性</w:t>
            </w:r>
            <w:r>
              <w:rPr>
                <w:rFonts w:hint="eastAsia"/>
              </w:rPr>
              <w:t>）</w:t>
            </w:r>
            <w:r>
              <w:t>，年龄＞50岁参考值可适当放宽，但一般＜4ng/ml</w:t>
            </w:r>
            <w:r>
              <w:rPr>
                <w:rFonts w:hint="eastAsia"/>
              </w:rPr>
              <w:t>。</w:t>
            </w:r>
          </w:p>
        </w:tc>
      </w:tr>
    </w:tbl>
    <w:p w14:paraId="0C6990EE" w14:textId="77777777" w:rsidR="002A401B" w:rsidRDefault="002A401B" w:rsidP="002A401B">
      <w:pPr>
        <w:pStyle w:val="0"/>
      </w:pPr>
    </w:p>
    <w:p w14:paraId="48E9B115"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18A42AA1" w14:textId="77777777" w:rsidTr="005971A0">
        <w:trPr>
          <w:trHeight w:hRule="exact" w:val="113"/>
          <w:jc w:val="center"/>
        </w:trPr>
        <w:tc>
          <w:tcPr>
            <w:tcW w:w="1560" w:type="dxa"/>
            <w:gridSpan w:val="2"/>
            <w:tcBorders>
              <w:top w:val="single" w:sz="4" w:space="0" w:color="auto"/>
            </w:tcBorders>
            <w:vAlign w:val="center"/>
          </w:tcPr>
          <w:p w14:paraId="483B5C6D"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855ADB9"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9F649CD"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87A3521"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3553657"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77126B1D" w14:textId="77777777" w:rsidR="002A401B" w:rsidRDefault="002A401B" w:rsidP="005971A0">
            <w:pPr>
              <w:spacing w:line="300" w:lineRule="exact"/>
              <w:jc w:val="right"/>
              <w:rPr>
                <w:color w:val="323E4F" w:themeColor="text2" w:themeShade="BF"/>
                <w:sz w:val="2"/>
                <w:szCs w:val="2"/>
              </w:rPr>
            </w:pPr>
          </w:p>
        </w:tc>
      </w:tr>
      <w:tr w:rsidR="002A401B" w14:paraId="7F328CA1" w14:textId="77777777" w:rsidTr="005971A0">
        <w:trPr>
          <w:trHeight w:val="432"/>
          <w:jc w:val="center"/>
        </w:trPr>
        <w:tc>
          <w:tcPr>
            <w:tcW w:w="1150" w:type="dxa"/>
            <w:vAlign w:val="center"/>
          </w:tcPr>
          <w:p w14:paraId="6D042CE4"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FPSA</w:t>
            </w:r>
          </w:p>
        </w:tc>
        <w:tc>
          <w:tcPr>
            <w:tcW w:w="2536" w:type="dxa"/>
            <w:gridSpan w:val="2"/>
            <w:vAlign w:val="center"/>
          </w:tcPr>
          <w:p w14:paraId="543B0ED4"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男-游离前列腺特异性抗原</w:t>
            </w:r>
          </w:p>
        </w:tc>
        <w:tc>
          <w:tcPr>
            <w:tcW w:w="1754" w:type="dxa"/>
            <w:gridSpan w:val="2"/>
            <w:vAlign w:val="center"/>
          </w:tcPr>
          <w:p>
            <w:r>
              <w:t>{{FPSA_result}}</w:t>
            </w:r>
          </w:p>
        </w:tc>
        <w:tc>
          <w:tcPr>
            <w:tcW w:w="825" w:type="dxa"/>
            <w:gridSpan w:val="2"/>
            <w:vAlign w:val="center"/>
          </w:tcPr>
          <w:p>
            <w:r>
              <w:t>{{FPSA_point}}</w:t>
            </w:r>
          </w:p>
        </w:tc>
        <w:tc>
          <w:tcPr>
            <w:tcW w:w="1980" w:type="dxa"/>
            <w:gridSpan w:val="2"/>
            <w:vAlign w:val="center"/>
          </w:tcPr>
          <w:p>
            <w:r>
              <w:t>{{FPSA_refer}}</w:t>
            </w:r>
          </w:p>
        </w:tc>
        <w:tc>
          <w:tcPr>
            <w:tcW w:w="1408" w:type="dxa"/>
            <w:gridSpan w:val="2"/>
            <w:vAlign w:val="center"/>
          </w:tcPr>
          <w:p>
            <w:r>
              <w:t>{{FPSA_unit}}</w:t>
            </w:r>
          </w:p>
        </w:tc>
      </w:tr>
      <w:tr w:rsidR="002A401B" w14:paraId="0B086986" w14:textId="77777777" w:rsidTr="005971A0">
        <w:trPr>
          <w:trHeight w:val="1651"/>
          <w:jc w:val="center"/>
        </w:trPr>
        <w:tc>
          <w:tcPr>
            <w:tcW w:w="9653" w:type="dxa"/>
            <w:gridSpan w:val="11"/>
            <w:vAlign w:val="center"/>
          </w:tcPr>
          <w:p w14:paraId="5149E636" w14:textId="77777777" w:rsidR="002A401B" w:rsidRDefault="002A401B" w:rsidP="005971A0">
            <w:r>
              <w:rPr>
                <w:b/>
                <w:bCs/>
              </w:rPr>
              <w:t>Clinical significance:</w:t>
            </w:r>
            <w:r>
              <w:t xml:space="preserve"> Used with TPSA to differentiate prostate cancer from benign prostate diseases; the FPSA/TPSA ratio is of diagnostic value (ratio &gt;0.16 suggests a low probability of prostate cancer; ratio &lt;0.16 suggests a higher probability). Normal reference value: </w:t>
            </w:r>
            <w:proofErr w:type="gramStart"/>
            <w:r>
              <w:t>generally</w:t>
            </w:r>
            <w:proofErr w:type="gramEnd"/>
            <w:r>
              <w:t xml:space="preserve"> &lt;1 ng/ml (method-dependent).</w:t>
            </w:r>
          </w:p>
          <w:p w14:paraId="1B118AD9" w14:textId="77777777" w:rsidR="002A401B" w:rsidRDefault="002A401B" w:rsidP="005971A0">
            <w:r>
              <w:rPr>
                <w:b/>
                <w:bCs/>
              </w:rPr>
              <w:t>临床意义：</w:t>
            </w:r>
            <w:r>
              <w:t>结合TPSA鉴别前列腺癌与良性前列腺疾病，FPSA/TPSA比值对诊断有重要价值（比值＞0.16时，前列腺癌可能性小；比值＜0.16时，前列腺癌可能性大</w:t>
            </w:r>
            <w:r>
              <w:rPr>
                <w:rFonts w:hint="eastAsia"/>
              </w:rPr>
              <w:t>）</w:t>
            </w:r>
            <w:r>
              <w:t>。正常参考值：一般＜1ng/ml（不同检测方法有差异</w:t>
            </w:r>
            <w:r>
              <w:rPr>
                <w:rFonts w:hint="eastAsia"/>
              </w:rPr>
              <w:t>）</w:t>
            </w:r>
            <w:r>
              <w:t>。</w:t>
            </w:r>
          </w:p>
        </w:tc>
      </w:tr>
    </w:tbl>
    <w:p w14:paraId="5CC4E01E" w14:textId="77777777" w:rsidR="002A401B" w:rsidRDefault="002A401B" w:rsidP="002A401B">
      <w:pPr>
        <w:pStyle w:val="0"/>
      </w:pPr>
    </w:p>
    <w:p w14:paraId="07D6BFB6"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29C18543" w14:textId="77777777" w:rsidTr="005971A0">
        <w:trPr>
          <w:trHeight w:hRule="exact" w:val="113"/>
          <w:jc w:val="center"/>
        </w:trPr>
        <w:tc>
          <w:tcPr>
            <w:tcW w:w="1560" w:type="dxa"/>
            <w:gridSpan w:val="2"/>
            <w:tcBorders>
              <w:top w:val="single" w:sz="4" w:space="0" w:color="auto"/>
            </w:tcBorders>
            <w:vAlign w:val="center"/>
          </w:tcPr>
          <w:p w14:paraId="5485504E"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9669A1A"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032A227"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1836952"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96C1647"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329F7112" w14:textId="77777777" w:rsidR="002A401B" w:rsidRDefault="002A401B" w:rsidP="005971A0">
            <w:pPr>
              <w:spacing w:line="300" w:lineRule="exact"/>
              <w:jc w:val="right"/>
              <w:rPr>
                <w:color w:val="323E4F" w:themeColor="text2" w:themeShade="BF"/>
                <w:sz w:val="2"/>
                <w:szCs w:val="2"/>
              </w:rPr>
            </w:pPr>
          </w:p>
        </w:tc>
      </w:tr>
      <w:tr w:rsidR="002A401B" w14:paraId="7C4BD256" w14:textId="77777777" w:rsidTr="005971A0">
        <w:trPr>
          <w:trHeight w:val="432"/>
          <w:jc w:val="center"/>
        </w:trPr>
        <w:tc>
          <w:tcPr>
            <w:tcW w:w="1150" w:type="dxa"/>
            <w:vAlign w:val="center"/>
          </w:tcPr>
          <w:p w14:paraId="002222A3"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E/TPSA</w:t>
            </w:r>
          </w:p>
        </w:tc>
        <w:tc>
          <w:tcPr>
            <w:tcW w:w="2536" w:type="dxa"/>
            <w:gridSpan w:val="2"/>
            <w:vAlign w:val="center"/>
          </w:tcPr>
          <w:p w14:paraId="38978764"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男-游离/总前列腺特异性抗原</w:t>
            </w:r>
          </w:p>
        </w:tc>
        <w:tc>
          <w:tcPr>
            <w:tcW w:w="1754" w:type="dxa"/>
            <w:gridSpan w:val="2"/>
            <w:vAlign w:val="center"/>
          </w:tcPr>
          <w:p>
            <w:r>
              <w:t>{{E_TPSA_result}}</w:t>
            </w:r>
          </w:p>
        </w:tc>
        <w:tc>
          <w:tcPr>
            <w:tcW w:w="825" w:type="dxa"/>
            <w:gridSpan w:val="2"/>
            <w:vAlign w:val="center"/>
          </w:tcPr>
          <w:p>
            <w:r>
              <w:t>{{E_TPSA_point}}</w:t>
            </w:r>
          </w:p>
        </w:tc>
        <w:tc>
          <w:tcPr>
            <w:tcW w:w="1980" w:type="dxa"/>
            <w:gridSpan w:val="2"/>
            <w:vAlign w:val="center"/>
          </w:tcPr>
          <w:p>
            <w:r>
              <w:t>{{E_TPSA_refer}}</w:t>
            </w:r>
          </w:p>
        </w:tc>
        <w:tc>
          <w:tcPr>
            <w:tcW w:w="1408" w:type="dxa"/>
            <w:gridSpan w:val="2"/>
            <w:vAlign w:val="center"/>
          </w:tcPr>
          <w:p>
            <w:r>
              <w:t>{{E_TPSA_unit}}</w:t>
            </w:r>
          </w:p>
        </w:tc>
      </w:tr>
      <w:tr w:rsidR="002A401B" w14:paraId="0D2E73D1" w14:textId="77777777" w:rsidTr="005971A0">
        <w:trPr>
          <w:trHeight w:val="1651"/>
          <w:jc w:val="center"/>
        </w:trPr>
        <w:tc>
          <w:tcPr>
            <w:tcW w:w="9653" w:type="dxa"/>
            <w:gridSpan w:val="11"/>
            <w:vAlign w:val="center"/>
          </w:tcPr>
          <w:p w14:paraId="03D128F4" w14:textId="77777777" w:rsidR="002A401B" w:rsidRDefault="002A401B" w:rsidP="005971A0">
            <w:r>
              <w:rPr>
                <w:b/>
                <w:bCs/>
              </w:rPr>
              <w:t>Clinical significance:</w:t>
            </w:r>
            <w:r>
              <w:t xml:space="preserve"> Same as FPSA/TPSA ratio; used to differentiate prostate cancer from benign prostate diseases. A higher ratio indicates a lower likelihood of prostate cancer. The normal reference value is generally &gt;0.16.</w:t>
            </w:r>
          </w:p>
          <w:p w14:paraId="0A1CC7ED" w14:textId="77777777" w:rsidR="002A401B" w:rsidRDefault="002A401B" w:rsidP="005971A0">
            <w:r>
              <w:rPr>
                <w:b/>
                <w:bCs/>
              </w:rPr>
              <w:t>临床意义：</w:t>
            </w:r>
            <w:r>
              <w:t>同FPSA/TPSA比值，用于鉴别前列腺癌与良性前列腺疾病，比值越高，前列腺癌可能性越小，正常参考值一般＞0.16</w:t>
            </w:r>
            <w:r>
              <w:rPr>
                <w:rFonts w:hint="eastAsia"/>
              </w:rPr>
              <w:t>。</w:t>
            </w:r>
          </w:p>
        </w:tc>
      </w:tr>
    </w:tbl>
    <w:p w14:paraId="4A1DCC8D" w14:textId="77777777" w:rsidR="002A401B" w:rsidRDefault="002A401B" w:rsidP="002A401B">
      <w:pPr>
        <w:pStyle w:val="0"/>
      </w:pPr>
    </w:p>
    <w:p w14:paraId="743D1CD4"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312E47B4" w14:textId="77777777" w:rsidTr="005971A0">
        <w:trPr>
          <w:trHeight w:hRule="exact" w:val="113"/>
          <w:jc w:val="center"/>
        </w:trPr>
        <w:tc>
          <w:tcPr>
            <w:tcW w:w="1560" w:type="dxa"/>
            <w:gridSpan w:val="2"/>
            <w:tcBorders>
              <w:top w:val="single" w:sz="4" w:space="0" w:color="auto"/>
            </w:tcBorders>
            <w:vAlign w:val="center"/>
          </w:tcPr>
          <w:p w14:paraId="6787E886"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3F05217"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58A2E66"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122C410"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DC87ED0"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6FB5EC11" w14:textId="77777777" w:rsidR="002A401B" w:rsidRDefault="002A401B" w:rsidP="005971A0">
            <w:pPr>
              <w:spacing w:line="300" w:lineRule="exact"/>
              <w:jc w:val="right"/>
              <w:rPr>
                <w:color w:val="323E4F" w:themeColor="text2" w:themeShade="BF"/>
                <w:sz w:val="2"/>
                <w:szCs w:val="2"/>
              </w:rPr>
            </w:pPr>
          </w:p>
        </w:tc>
      </w:tr>
      <w:tr w:rsidR="002A401B" w14:paraId="4107D7ED" w14:textId="77777777" w:rsidTr="005971A0">
        <w:trPr>
          <w:trHeight w:val="432"/>
          <w:jc w:val="center"/>
        </w:trPr>
        <w:tc>
          <w:tcPr>
            <w:tcW w:w="1150" w:type="dxa"/>
            <w:vAlign w:val="center"/>
          </w:tcPr>
          <w:p w14:paraId="5781A413"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CA125</w:t>
            </w:r>
          </w:p>
        </w:tc>
        <w:tc>
          <w:tcPr>
            <w:tcW w:w="2536" w:type="dxa"/>
            <w:gridSpan w:val="2"/>
            <w:vAlign w:val="center"/>
          </w:tcPr>
          <w:p w14:paraId="23804505"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女-糖类抗原125</w:t>
            </w:r>
          </w:p>
        </w:tc>
        <w:tc>
          <w:tcPr>
            <w:tcW w:w="1754" w:type="dxa"/>
            <w:gridSpan w:val="2"/>
            <w:vAlign w:val="center"/>
          </w:tcPr>
          <w:p>
            <w:r>
              <w:t>{{CA125_result}}</w:t>
            </w:r>
          </w:p>
        </w:tc>
        <w:tc>
          <w:tcPr>
            <w:tcW w:w="825" w:type="dxa"/>
            <w:gridSpan w:val="2"/>
            <w:vAlign w:val="center"/>
          </w:tcPr>
          <w:p>
            <w:r>
              <w:t>{{CA125_point}}</w:t>
            </w:r>
          </w:p>
        </w:tc>
        <w:tc>
          <w:tcPr>
            <w:tcW w:w="1980" w:type="dxa"/>
            <w:gridSpan w:val="2"/>
            <w:vAlign w:val="center"/>
          </w:tcPr>
          <w:p>
            <w:r>
              <w:t>{{CA125_refer}}</w:t>
            </w:r>
          </w:p>
        </w:tc>
        <w:tc>
          <w:tcPr>
            <w:tcW w:w="1408" w:type="dxa"/>
            <w:gridSpan w:val="2"/>
            <w:vAlign w:val="center"/>
          </w:tcPr>
          <w:p>
            <w:r>
              <w:t>{{CA125_unit}}</w:t>
            </w:r>
          </w:p>
        </w:tc>
      </w:tr>
      <w:tr w:rsidR="002A401B" w14:paraId="6DBDC3EF" w14:textId="77777777" w:rsidTr="005971A0">
        <w:trPr>
          <w:trHeight w:val="1651"/>
          <w:jc w:val="center"/>
        </w:trPr>
        <w:tc>
          <w:tcPr>
            <w:tcW w:w="9653" w:type="dxa"/>
            <w:gridSpan w:val="11"/>
            <w:vAlign w:val="center"/>
          </w:tcPr>
          <w:p w14:paraId="64F37723" w14:textId="77777777" w:rsidR="002A401B" w:rsidRDefault="002A401B" w:rsidP="005971A0">
            <w:r>
              <w:rPr>
                <w:b/>
                <w:bCs/>
              </w:rPr>
              <w:t>Clinical significance:</w:t>
            </w:r>
            <w:r>
              <w:t xml:space="preserve"> An important marker for diagnosing ovarian cancer; also assists in diagnosing endometrial cancer, cervical cancer, and pancreatic cancer; used for evaluating recurrence and metastasis. The normal reference value is generally &lt;35 U/ml (in women).</w:t>
            </w:r>
          </w:p>
          <w:p w14:paraId="6B2E63F6" w14:textId="77777777" w:rsidR="002A401B" w:rsidRDefault="002A401B" w:rsidP="005971A0">
            <w:r>
              <w:rPr>
                <w:b/>
                <w:bCs/>
              </w:rPr>
              <w:t>临床意义：</w:t>
            </w:r>
            <w:r>
              <w:t>诊断卵巢癌的重要指标，辅助诊断子宫内膜癌、宫颈癌、胰腺癌等，评估肿瘤复发、转移</w:t>
            </w:r>
            <w:r>
              <w:rPr>
                <w:rFonts w:hint="eastAsia"/>
              </w:rPr>
              <w:t>。</w:t>
            </w:r>
            <w:r>
              <w:t>正常参考值一般＜35U/ml（女性</w:t>
            </w:r>
            <w:r>
              <w:rPr>
                <w:rFonts w:hint="eastAsia"/>
              </w:rPr>
              <w:t>）</w:t>
            </w:r>
            <w:r>
              <w:t>。</w:t>
            </w:r>
          </w:p>
        </w:tc>
      </w:tr>
    </w:tbl>
    <w:p w14:paraId="24129380" w14:textId="77777777" w:rsidR="002A401B" w:rsidRDefault="002A401B" w:rsidP="002A401B">
      <w:pPr>
        <w:pStyle w:val="0"/>
      </w:pPr>
    </w:p>
    <w:p w14:paraId="77B149B9"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569D1125" w14:textId="77777777" w:rsidTr="005971A0">
        <w:trPr>
          <w:trHeight w:hRule="exact" w:val="113"/>
          <w:jc w:val="center"/>
        </w:trPr>
        <w:tc>
          <w:tcPr>
            <w:tcW w:w="1560" w:type="dxa"/>
            <w:gridSpan w:val="2"/>
            <w:tcBorders>
              <w:top w:val="single" w:sz="4" w:space="0" w:color="auto"/>
            </w:tcBorders>
            <w:vAlign w:val="center"/>
          </w:tcPr>
          <w:p w14:paraId="67662F32"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62D8E12"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CB01A83"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AF5E27C"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5FEB984"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581FCA34" w14:textId="77777777" w:rsidR="002A401B" w:rsidRDefault="002A401B" w:rsidP="005971A0">
            <w:pPr>
              <w:spacing w:line="300" w:lineRule="exact"/>
              <w:jc w:val="right"/>
              <w:rPr>
                <w:color w:val="323E4F" w:themeColor="text2" w:themeShade="BF"/>
                <w:sz w:val="2"/>
                <w:szCs w:val="2"/>
              </w:rPr>
            </w:pPr>
          </w:p>
        </w:tc>
      </w:tr>
      <w:tr w:rsidR="002A401B" w14:paraId="7BE8540E" w14:textId="77777777" w:rsidTr="005971A0">
        <w:trPr>
          <w:trHeight w:val="432"/>
          <w:jc w:val="center"/>
        </w:trPr>
        <w:tc>
          <w:tcPr>
            <w:tcW w:w="1150" w:type="dxa"/>
            <w:vAlign w:val="center"/>
          </w:tcPr>
          <w:p w14:paraId="62A793A1"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CA15-3</w:t>
            </w:r>
          </w:p>
        </w:tc>
        <w:tc>
          <w:tcPr>
            <w:tcW w:w="2536" w:type="dxa"/>
            <w:gridSpan w:val="2"/>
            <w:vAlign w:val="center"/>
          </w:tcPr>
          <w:p w14:paraId="51D76380"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女-糖类抗原15-3</w:t>
            </w:r>
          </w:p>
        </w:tc>
        <w:tc>
          <w:tcPr>
            <w:tcW w:w="1754" w:type="dxa"/>
            <w:gridSpan w:val="2"/>
            <w:vAlign w:val="center"/>
          </w:tcPr>
          <w:p>
            <w:r>
              <w:t>{{CA15_3_result}}</w:t>
            </w:r>
          </w:p>
        </w:tc>
        <w:tc>
          <w:tcPr>
            <w:tcW w:w="825" w:type="dxa"/>
            <w:gridSpan w:val="2"/>
            <w:vAlign w:val="center"/>
          </w:tcPr>
          <w:p>
            <w:r>
              <w:t>{{CA15_3_point}}</w:t>
            </w:r>
          </w:p>
        </w:tc>
        <w:tc>
          <w:tcPr>
            <w:tcW w:w="1980" w:type="dxa"/>
            <w:gridSpan w:val="2"/>
            <w:vAlign w:val="center"/>
          </w:tcPr>
          <w:p>
            <w:r>
              <w:t>{{CA15_3_refer}}</w:t>
            </w:r>
          </w:p>
        </w:tc>
        <w:tc>
          <w:tcPr>
            <w:tcW w:w="1408" w:type="dxa"/>
            <w:gridSpan w:val="2"/>
            <w:vAlign w:val="center"/>
          </w:tcPr>
          <w:p>
            <w:r>
              <w:t>{{CA15_3_unit}}</w:t>
            </w:r>
          </w:p>
        </w:tc>
      </w:tr>
      <w:tr w:rsidR="002A401B" w14:paraId="6557E263" w14:textId="77777777" w:rsidTr="005971A0">
        <w:trPr>
          <w:trHeight w:val="1651"/>
          <w:jc w:val="center"/>
        </w:trPr>
        <w:tc>
          <w:tcPr>
            <w:tcW w:w="9653" w:type="dxa"/>
            <w:gridSpan w:val="11"/>
            <w:vAlign w:val="center"/>
          </w:tcPr>
          <w:p w14:paraId="1AED8DEE" w14:textId="77777777" w:rsidR="002A401B" w:rsidRDefault="002A401B" w:rsidP="005971A0">
            <w:r>
              <w:rPr>
                <w:b/>
                <w:bCs/>
              </w:rPr>
              <w:t>Clinical significance:</w:t>
            </w:r>
            <w:r>
              <w:t xml:space="preserve"> Assists in diagnosing breast cancer; evaluates recurrence, metastasis, and prognosis; also used for auxiliary diagnosis of lung and ovarian cancers. The normal reference value is generally &lt;25 U/ml (in women).</w:t>
            </w:r>
          </w:p>
          <w:p w14:paraId="266AAC11" w14:textId="77777777" w:rsidR="002A401B" w:rsidRDefault="002A401B" w:rsidP="005971A0">
            <w:r>
              <w:rPr>
                <w:b/>
                <w:bCs/>
              </w:rPr>
              <w:t>临床意义：</w:t>
            </w:r>
            <w:r>
              <w:t>辅助诊断乳腺癌，评估乳腺癌复发、转移及预后，也用于肺癌、卵巢癌等的辅助诊断</w:t>
            </w:r>
            <w:r>
              <w:rPr>
                <w:rFonts w:hint="eastAsia"/>
              </w:rPr>
              <w:t>。</w:t>
            </w:r>
            <w:r>
              <w:t>正常参考值一般＜25U/ml（女性</w:t>
            </w:r>
            <w:r>
              <w:rPr>
                <w:rFonts w:hint="eastAsia"/>
              </w:rPr>
              <w:t>）</w:t>
            </w:r>
            <w:r>
              <w:t>。</w:t>
            </w:r>
          </w:p>
        </w:tc>
      </w:tr>
    </w:tbl>
    <w:p w14:paraId="7794E47A" w14:textId="77777777" w:rsidR="002A401B" w:rsidRDefault="002A401B" w:rsidP="002A401B">
      <w:pPr>
        <w:pStyle w:val="0"/>
      </w:pPr>
    </w:p>
    <w:p w14:paraId="260E0778"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1D353D42" w14:textId="77777777" w:rsidTr="005971A0">
        <w:trPr>
          <w:trHeight w:hRule="exact" w:val="113"/>
          <w:jc w:val="center"/>
        </w:trPr>
        <w:tc>
          <w:tcPr>
            <w:tcW w:w="1560" w:type="dxa"/>
            <w:gridSpan w:val="2"/>
            <w:tcBorders>
              <w:top w:val="single" w:sz="4" w:space="0" w:color="auto"/>
            </w:tcBorders>
            <w:vAlign w:val="center"/>
          </w:tcPr>
          <w:p w14:paraId="034156B2"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CA7A4CE"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66A713E"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C873268"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9A5CCA5"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18A8C25E" w14:textId="77777777" w:rsidR="002A401B" w:rsidRDefault="002A401B" w:rsidP="005971A0">
            <w:pPr>
              <w:spacing w:line="300" w:lineRule="exact"/>
              <w:jc w:val="right"/>
              <w:rPr>
                <w:color w:val="323E4F" w:themeColor="text2" w:themeShade="BF"/>
                <w:sz w:val="2"/>
                <w:szCs w:val="2"/>
              </w:rPr>
            </w:pPr>
          </w:p>
        </w:tc>
      </w:tr>
      <w:tr w:rsidR="002A401B" w14:paraId="32FB8EF0" w14:textId="77777777" w:rsidTr="005971A0">
        <w:trPr>
          <w:trHeight w:val="432"/>
          <w:jc w:val="center"/>
        </w:trPr>
        <w:tc>
          <w:tcPr>
            <w:tcW w:w="1150" w:type="dxa"/>
            <w:vAlign w:val="center"/>
          </w:tcPr>
          <w:p w14:paraId="1E7BCDCB"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PSA</w:t>
            </w:r>
          </w:p>
        </w:tc>
        <w:tc>
          <w:tcPr>
            <w:tcW w:w="2536" w:type="dxa"/>
            <w:gridSpan w:val="2"/>
            <w:vAlign w:val="center"/>
          </w:tcPr>
          <w:p w14:paraId="0E929CCC"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女-鳞状细胞癌抗原</w:t>
            </w:r>
          </w:p>
        </w:tc>
        <w:tc>
          <w:tcPr>
            <w:tcW w:w="1754" w:type="dxa"/>
            <w:gridSpan w:val="2"/>
            <w:vAlign w:val="center"/>
          </w:tcPr>
          <w:p>
            <w:r>
              <w:t>{{PSA_result}}</w:t>
            </w:r>
          </w:p>
        </w:tc>
        <w:tc>
          <w:tcPr>
            <w:tcW w:w="825" w:type="dxa"/>
            <w:gridSpan w:val="2"/>
            <w:vAlign w:val="center"/>
          </w:tcPr>
          <w:p>
            <w:r>
              <w:t>{{PSA_point}}</w:t>
            </w:r>
          </w:p>
        </w:tc>
        <w:tc>
          <w:tcPr>
            <w:tcW w:w="1980" w:type="dxa"/>
            <w:gridSpan w:val="2"/>
            <w:vAlign w:val="center"/>
          </w:tcPr>
          <w:p>
            <w:r>
              <w:t>{{PSA_refer}}</w:t>
            </w:r>
          </w:p>
        </w:tc>
        <w:tc>
          <w:tcPr>
            <w:tcW w:w="1408" w:type="dxa"/>
            <w:gridSpan w:val="2"/>
            <w:vAlign w:val="center"/>
          </w:tcPr>
          <w:p>
            <w:r>
              <w:t>{{PSA_unit}}</w:t>
            </w:r>
          </w:p>
        </w:tc>
      </w:tr>
      <w:tr w:rsidR="002A401B" w14:paraId="7041314E" w14:textId="77777777" w:rsidTr="005971A0">
        <w:trPr>
          <w:trHeight w:val="1651"/>
          <w:jc w:val="center"/>
        </w:trPr>
        <w:tc>
          <w:tcPr>
            <w:tcW w:w="9653" w:type="dxa"/>
            <w:gridSpan w:val="11"/>
            <w:vAlign w:val="center"/>
          </w:tcPr>
          <w:p w14:paraId="77A7691F" w14:textId="77777777" w:rsidR="002A401B" w:rsidRDefault="002A401B" w:rsidP="005971A0">
            <w:r>
              <w:rPr>
                <w:b/>
                <w:bCs/>
              </w:rPr>
              <w:t>Clinical significance:</w:t>
            </w:r>
            <w:r>
              <w:t xml:space="preserve"> A specific marker for diagnosing squamous cell carcinomas (such as cervical, lung, esophageal, and head &amp; neck cancers); used for evaluating recurrence and metastasis. The normal reference value is generally &lt;1.5 ng/ml (in women).</w:t>
            </w:r>
          </w:p>
          <w:p w14:paraId="6C78C597" w14:textId="77777777" w:rsidR="002A401B" w:rsidRDefault="002A401B" w:rsidP="005971A0">
            <w:r>
              <w:rPr>
                <w:b/>
                <w:bCs/>
              </w:rPr>
              <w:t>临床意义：</w:t>
            </w:r>
            <w:r>
              <w:t>诊断鳞状细胞癌（如宫颈癌、肺癌、食管癌、头颈部癌</w:t>
            </w:r>
            <w:r>
              <w:rPr>
                <w:rFonts w:hint="eastAsia"/>
              </w:rPr>
              <w:t>）</w:t>
            </w:r>
            <w:r>
              <w:t>的特异性指标，评估肿瘤复发、转移</w:t>
            </w:r>
            <w:r>
              <w:rPr>
                <w:rFonts w:hint="eastAsia"/>
              </w:rPr>
              <w:t>。</w:t>
            </w:r>
            <w:r>
              <w:t>正常参考值一般＜1.5ng/ml（女性</w:t>
            </w:r>
            <w:r>
              <w:rPr>
                <w:rFonts w:hint="eastAsia"/>
              </w:rPr>
              <w:t>）</w:t>
            </w:r>
            <w:r>
              <w:t>。</w:t>
            </w:r>
          </w:p>
        </w:tc>
      </w:tr>
    </w:tbl>
    <w:p w14:paraId="100D7C7E" w14:textId="77777777" w:rsidR="002A401B" w:rsidRDefault="002A401B" w:rsidP="002A401B">
      <w:pPr>
        <w:pStyle w:val="0"/>
        <w:sectPr w:rsidR="002A401B" w:rsidSect="002A401B">
          <w:pgSz w:w="11901" w:h="16817"/>
          <w:pgMar w:top="1418" w:right="1134" w:bottom="1021" w:left="1191" w:header="851" w:footer="992" w:gutter="0"/>
          <w:cols w:space="425"/>
          <w:docGrid w:linePitch="312"/>
        </w:sectPr>
      </w:pPr>
    </w:p>
    <w:p w14:paraId="0BF6ACD2" w14:textId="68D110DF" w:rsidR="009967D1" w:rsidRDefault="003D6B95" w:rsidP="003D6B95">
      <w:pPr>
        <w:pStyle w:val="3-"/>
      </w:pPr>
      <w:r>
        <w:rPr>
          <w:rFonts w:hint="eastAsia"/>
        </w:rPr>
        <w:lastRenderedPageBreak/>
        <w:t>Imaging</w:t>
      </w:r>
      <w:r>
        <w:br/>
      </w:r>
      <w:r w:rsidR="0080134E">
        <w:rPr>
          <w:rFonts w:hint="eastAsia"/>
        </w:rPr>
        <w:t>影像学检查</w:t>
      </w:r>
    </w:p>
    <w:p w14:paraId="73B27FAF" w14:textId="77777777" w:rsidR="003D6B95" w:rsidRDefault="003D6B95" w:rsidP="003D6B95">
      <w:pPr>
        <w:pStyle w:val="0"/>
      </w:pPr>
    </w:p>
    <w:p w14:paraId="29E8DA21" w14:textId="6BA34CA2" w:rsidR="003D6B95" w:rsidRDefault="003D6B95" w:rsidP="003D6B95">
      <w:pPr>
        <w:pStyle w:val="00"/>
      </w:pPr>
      <w:r w:rsidRPr="003D6B95">
        <w:t>Imaging examinations are indispensable tools in modern medicine for diagnosis and health assessment. Common modalities include electrocardiogram (ECG), color Doppler ultrasound (covering the heart, thyroid, liver, gallbladder, pancreas, spleen, kidneys, urinary tract, and gender-specific organs), and computed tomography (CT). These tests, performed through non-invasive or minimally invasive methods, provide direct insights into organ structure, function, and potential abnormalities, playing a vital role in detecting hidden diseases and evaluating chronic disease risks.</w:t>
      </w:r>
    </w:p>
    <w:p w14:paraId="7021DE3F" w14:textId="77777777" w:rsidR="003D6B95" w:rsidRDefault="003D6B95" w:rsidP="003D6B95">
      <w:pPr>
        <w:pStyle w:val="0"/>
      </w:pPr>
      <w:r>
        <w:t>影像学检查是现代医学诊断和健康评估中不可或缺的重要手段，常见的项目包括心电图（</w:t>
      </w:r>
      <w:r>
        <w:t>ECG</w:t>
      </w:r>
      <w:r>
        <w:t>）、彩色</w:t>
      </w:r>
      <w:r>
        <w:t>B</w:t>
      </w:r>
      <w:r>
        <w:t>超（心脏、甲状腺、肝胆胰脾、泌尿系统及男女特异器官）、</w:t>
      </w:r>
      <w:r>
        <w:t>CT</w:t>
      </w:r>
      <w:r>
        <w:t>检查等。这些检查通过无创或低创方式，帮助医生直观地了解心脏功能、脏器结构及潜在病变情况，是发现隐匿性疾病和评估慢性病风险的重要工具。</w:t>
      </w:r>
    </w:p>
    <w:p w14:paraId="5E57FF43" w14:textId="2ED76BF1" w:rsidR="003D6B95" w:rsidRDefault="003D6B95" w:rsidP="003D6B95">
      <w:pPr>
        <w:pStyle w:val="00"/>
      </w:pPr>
      <w:r w:rsidRPr="003D6B95">
        <w:t>Electrocardiogram (ECG) is the most basic cardiac assessment, offering rapid evaluation of heart rhythm, rate, and conduction, and is widely used to diagnose arrhythmias, myocardial ischemia, and cardiac hypertrophy. Color Doppler ultrasound is a safe, radiation-free imaging tool that enables dynamic observation of the heart, thyroid, abdominal organs (liver, gallbladder, pancreas, spleen, kidneys, bladder), and gender-specific organs (uterus, ovaries, breasts, or prostate). It is particularly useful in identifying tumors, inflammation, vascular abnormalities, and functional impairments. CT scanning, with its high resolution and precise imaging, is invaluable for detecting early-stage tumors, inflammation, and vascular lesions, making it a cornerstone in accurate diagnosis and risk evaluation.</w:t>
      </w:r>
    </w:p>
    <w:p w14:paraId="70E8883A" w14:textId="4D45724C" w:rsidR="003D6B95" w:rsidRDefault="003D6B95" w:rsidP="003D6B95">
      <w:pPr>
        <w:pStyle w:val="0"/>
      </w:pPr>
      <w:r>
        <w:t>心电图是最基础的心脏功能检测手段，能够快速反映心律、心率和电传导情况，用于诊断心律失常、心肌缺血及心脏肥大等问题。彩色</w:t>
      </w:r>
      <w:r>
        <w:t>B</w:t>
      </w:r>
      <w:r>
        <w:t>超是一种无创、无辐射的影像学检查，可对心脏、甲状腺、腹部脏器（肝、胆、胰、脾、肾、膀胱）、以及男女特异性器官（子宫、卵巢、乳腺或前列腺）进行动态观察，有助于发现肿块、炎症、血流异常和功能障碍。</w:t>
      </w:r>
      <w:r>
        <w:t>CT</w:t>
      </w:r>
      <w:r>
        <w:t>检查则具有分辨率高、成像清晰的优势，能够发现早期肿瘤、炎症、血管病变等，是临床精确诊断和健康风险评估的重要手段。</w:t>
      </w:r>
    </w:p>
    <w:p w14:paraId="23BEFF93" w14:textId="3B2F82DD" w:rsidR="003D6B95" w:rsidRDefault="003D6B95" w:rsidP="003D6B95">
      <w:pPr>
        <w:pStyle w:val="00"/>
      </w:pPr>
      <w:r w:rsidRPr="003D6B95">
        <w:t>In preventive healthcare, imaging plays a dual role in early disease detection and chronic disease monitoring. For instance, ECG helps assess cardiovascular risk, ultrasound supports early detection of common issues such as thyroid nodules, fatty liver, and kidney stones, while CT is indispensable in cancer screening, pulmonary evaluation, and cerebrovascular disease detection. Together, these modalities establish a comprehensive imaging record for individuals, enabling early intervention and personalized health management.</w:t>
      </w:r>
    </w:p>
    <w:p w14:paraId="08F27D91" w14:textId="5B25FB07" w:rsidR="003D6B95" w:rsidRDefault="00E0487F" w:rsidP="003D6B95">
      <w:pPr>
        <w:pStyle w:val="0"/>
      </w:pPr>
      <w:r w:rsidRPr="009E1205">
        <w:rPr>
          <w:noProof/>
        </w:rPr>
        <w:drawing>
          <wp:anchor distT="0" distB="0" distL="114300" distR="114300" simplePos="0" relativeHeight="251707392" behindDoc="0" locked="0" layoutInCell="1" allowOverlap="1" wp14:anchorId="3C5DBF1D" wp14:editId="345715E5">
            <wp:simplePos x="0" y="0"/>
            <wp:positionH relativeFrom="column">
              <wp:posOffset>1857</wp:posOffset>
            </wp:positionH>
            <wp:positionV relativeFrom="paragraph">
              <wp:posOffset>963424</wp:posOffset>
            </wp:positionV>
            <wp:extent cx="6074410" cy="1376680"/>
            <wp:effectExtent l="0" t="0" r="0" b="0"/>
            <wp:wrapNone/>
            <wp:docPr id="11792953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295318" name="图片 1"/>
                    <pic:cNvPicPr/>
                  </pic:nvPicPr>
                  <pic:blipFill rotWithShape="1">
                    <a:blip r:embed="rId35">
                      <a:extLst>
                        <a:ext uri="{28A0092B-C50C-407E-A947-70E740481C1C}">
                          <a14:useLocalDpi xmlns:a14="http://schemas.microsoft.com/office/drawing/2010/main" val="0"/>
                        </a:ext>
                      </a:extLst>
                    </a:blip>
                    <a:srcRect t="33986" b="31983"/>
                    <a:stretch>
                      <a:fillRect/>
                    </a:stretch>
                  </pic:blipFill>
                  <pic:spPr bwMode="auto">
                    <a:xfrm>
                      <a:off x="0" y="0"/>
                      <a:ext cx="6074410" cy="13766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D6B95">
        <w:t>在健康管理中，影像学检查不仅能发现潜在疾病，还可以用于慢性病随访和疗效评估。例如，心电图可监测心血管病风险，彩超有助于早期筛查甲状腺结节、脂肪肝、肾结石等常见问题，</w:t>
      </w:r>
      <w:r w:rsidR="003D6B95">
        <w:t>CT</w:t>
      </w:r>
      <w:r w:rsidR="003D6B95">
        <w:t>则在肿瘤筛查、肺部疾病及脑血管疾病中具有不可替代的作用。通过这些检查的组合应用，可以为个体健康建立系统化影像档案，实现早发现、早干预和个性化管理。</w:t>
      </w:r>
    </w:p>
    <w:p w14:paraId="617371E6" w14:textId="025A3EC0" w:rsidR="003D6B95" w:rsidRDefault="003D6B95" w:rsidP="003D6B95">
      <w:pPr>
        <w:pStyle w:val="0"/>
      </w:pPr>
    </w:p>
    <w:p w14:paraId="133442E3" w14:textId="77777777" w:rsidR="003D6B95" w:rsidRPr="003D6B95" w:rsidRDefault="003D6B95" w:rsidP="003D6B95">
      <w:pPr>
        <w:pStyle w:val="0"/>
      </w:pPr>
    </w:p>
    <w:p w14:paraId="1150A9B7" w14:textId="77777777" w:rsidR="009967D1" w:rsidRDefault="0080134E">
      <w:pPr>
        <w:widowControl/>
        <w:jc w:val="left"/>
      </w:pPr>
      <w:r>
        <w:br w:type="page"/>
      </w:r>
    </w:p>
    <w:p w14:paraId="5E8B9883"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B314DA2" w14:textId="77777777">
        <w:trPr>
          <w:trHeight w:val="839"/>
          <w:jc w:val="center"/>
        </w:trPr>
        <w:tc>
          <w:tcPr>
            <w:tcW w:w="1150" w:type="dxa"/>
            <w:tcBorders>
              <w:top w:val="single" w:sz="4" w:space="0" w:color="auto"/>
              <w:bottom w:val="single" w:sz="4" w:space="0" w:color="auto"/>
            </w:tcBorders>
            <w:vAlign w:val="center"/>
          </w:tcPr>
          <w:p w14:paraId="2C66BAE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7C1DC7B2"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1D83014F"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45D6011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3DF50E4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7D31665F"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19FAC0F5" w14:textId="77777777">
        <w:trPr>
          <w:trHeight w:val="1111"/>
          <w:jc w:val="center"/>
        </w:trPr>
        <w:tc>
          <w:tcPr>
            <w:tcW w:w="9653" w:type="dxa"/>
            <w:gridSpan w:val="11"/>
            <w:tcBorders>
              <w:top w:val="single" w:sz="4" w:space="0" w:color="auto"/>
              <w:bottom w:val="single" w:sz="4" w:space="0" w:color="auto"/>
            </w:tcBorders>
            <w:vAlign w:val="center"/>
          </w:tcPr>
          <w:p w14:paraId="5D7C3B1B"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Imaging</w:t>
            </w:r>
          </w:p>
          <w:p w14:paraId="01F4735F"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影像学检查</w:t>
            </w:r>
          </w:p>
        </w:tc>
      </w:tr>
      <w:tr w:rsidR="009967D1" w14:paraId="2F405636" w14:textId="77777777">
        <w:trPr>
          <w:trHeight w:hRule="exact" w:val="113"/>
          <w:jc w:val="center"/>
        </w:trPr>
        <w:tc>
          <w:tcPr>
            <w:tcW w:w="1560" w:type="dxa"/>
            <w:gridSpan w:val="2"/>
            <w:tcBorders>
              <w:top w:val="single" w:sz="4" w:space="0" w:color="auto"/>
            </w:tcBorders>
            <w:vAlign w:val="center"/>
          </w:tcPr>
          <w:p w14:paraId="43C9286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71F1CFB"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FA799CF"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BC45EC1"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7741A0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C1791C6" w14:textId="77777777" w:rsidR="009967D1" w:rsidRDefault="009967D1">
            <w:pPr>
              <w:spacing w:line="300" w:lineRule="exact"/>
              <w:jc w:val="right"/>
              <w:rPr>
                <w:color w:val="323E4F" w:themeColor="text2" w:themeShade="BF"/>
                <w:sz w:val="2"/>
                <w:szCs w:val="2"/>
              </w:rPr>
            </w:pPr>
          </w:p>
        </w:tc>
      </w:tr>
      <w:tr w:rsidR="009967D1" w14:paraId="29588311" w14:textId="77777777">
        <w:trPr>
          <w:trHeight w:val="432"/>
          <w:jc w:val="center"/>
        </w:trPr>
        <w:tc>
          <w:tcPr>
            <w:tcW w:w="1150" w:type="dxa"/>
            <w:vAlign w:val="center"/>
          </w:tcPr>
          <w:p w14:paraId="52382411" w14:textId="77777777" w:rsidR="009967D1" w:rsidRDefault="0080134E">
            <w:pPr>
              <w:spacing w:line="400" w:lineRule="exact"/>
              <w:jc w:val="center"/>
              <w:rPr>
                <w:b/>
                <w:bCs/>
                <w:color w:val="000000" w:themeColor="text1"/>
                <w:sz w:val="24"/>
              </w:rPr>
            </w:pPr>
            <w:r>
              <w:rPr>
                <w:rFonts w:hint="eastAsia"/>
                <w:b/>
                <w:bCs/>
                <w:color w:val="000000" w:themeColor="text1"/>
                <w:sz w:val="24"/>
              </w:rPr>
              <w:t>ECG</w:t>
            </w:r>
          </w:p>
        </w:tc>
        <w:tc>
          <w:tcPr>
            <w:tcW w:w="2536" w:type="dxa"/>
            <w:gridSpan w:val="2"/>
            <w:vAlign w:val="center"/>
          </w:tcPr>
          <w:p w14:paraId="4ECC80D5" w14:textId="77777777" w:rsidR="009967D1" w:rsidRDefault="0080134E">
            <w:pPr>
              <w:spacing w:line="400" w:lineRule="exact"/>
              <w:jc w:val="center"/>
              <w:rPr>
                <w:b/>
                <w:bCs/>
                <w:color w:val="000000" w:themeColor="text1"/>
                <w:sz w:val="24"/>
              </w:rPr>
            </w:pPr>
            <w:r>
              <w:rPr>
                <w:rFonts w:hint="eastAsia"/>
                <w:b/>
                <w:bCs/>
                <w:color w:val="000000" w:themeColor="text1"/>
                <w:sz w:val="24"/>
              </w:rPr>
              <w:t>心电图</w:t>
            </w:r>
          </w:p>
        </w:tc>
        <w:tc>
          <w:tcPr>
            <w:tcW w:w="1754" w:type="dxa"/>
            <w:gridSpan w:val="2"/>
            <w:vAlign w:val="center"/>
          </w:tcPr>
          <w:p w14:paraId="1677515C" w14:textId="17EF7740" w:rsidR="009967D1" w:rsidRDefault="00B36276">
            <w:pPr>
              <w:spacing w:line="400" w:lineRule="exact"/>
              <w:jc w:val="center"/>
              <w:rPr>
                <w:b/>
                <w:bCs/>
                <w:color w:val="000000" w:themeColor="text1"/>
                <w:sz w:val="24"/>
              </w:rPr>
            </w:pPr>
            <w:r>
              <w:rPr>
                <w:rFonts w:hint="eastAsia"/>
                <w:b/>
                <w:bCs/>
                <w:color w:val="000000" w:themeColor="text1"/>
                <w:sz w:val="24"/>
              </w:rPr>
              <w:t>/</w:t>
            </w:r>
          </w:p>
        </w:tc>
        <w:tc>
          <w:tcPr>
            <w:tcW w:w="825" w:type="dxa"/>
            <w:gridSpan w:val="2"/>
            <w:vAlign w:val="center"/>
          </w:tcPr>
          <w:p w14:paraId="7A78F210" w14:textId="58BE948F" w:rsidR="009967D1" w:rsidRDefault="00B36276">
            <w:pPr>
              <w:spacing w:line="400" w:lineRule="exact"/>
              <w:jc w:val="center"/>
              <w:rPr>
                <w:b/>
                <w:bCs/>
                <w:color w:val="000000" w:themeColor="text1"/>
                <w:sz w:val="24"/>
              </w:rPr>
            </w:pPr>
            <w:r>
              <w:rPr>
                <w:rFonts w:hint="eastAsia"/>
                <w:b/>
                <w:bCs/>
                <w:color w:val="000000" w:themeColor="text1"/>
                <w:sz w:val="24"/>
              </w:rPr>
              <w:t>/</w:t>
            </w:r>
          </w:p>
        </w:tc>
        <w:tc>
          <w:tcPr>
            <w:tcW w:w="1980" w:type="dxa"/>
            <w:gridSpan w:val="2"/>
            <w:vAlign w:val="center"/>
          </w:tcPr>
          <w:p w14:paraId="0CEB4022" w14:textId="225628A3" w:rsidR="009967D1" w:rsidRDefault="00B36276">
            <w:pPr>
              <w:spacing w:line="400" w:lineRule="exact"/>
              <w:jc w:val="center"/>
              <w:rPr>
                <w:b/>
                <w:bCs/>
                <w:color w:val="000000" w:themeColor="text1"/>
                <w:sz w:val="24"/>
              </w:rPr>
            </w:pPr>
            <w:r>
              <w:rPr>
                <w:rFonts w:hint="eastAsia"/>
                <w:b/>
                <w:bCs/>
                <w:color w:val="000000" w:themeColor="text1"/>
                <w:sz w:val="24"/>
              </w:rPr>
              <w:t>/</w:t>
            </w:r>
          </w:p>
        </w:tc>
        <w:tc>
          <w:tcPr>
            <w:tcW w:w="1408" w:type="dxa"/>
            <w:gridSpan w:val="2"/>
            <w:vAlign w:val="center"/>
          </w:tcPr>
          <w:p w14:paraId="3808169E" w14:textId="5E61C443" w:rsidR="009967D1" w:rsidRDefault="00B36276">
            <w:pPr>
              <w:spacing w:line="400" w:lineRule="exact"/>
              <w:jc w:val="center"/>
              <w:rPr>
                <w:b/>
                <w:bCs/>
                <w:color w:val="000000" w:themeColor="text1"/>
                <w:sz w:val="24"/>
              </w:rPr>
            </w:pPr>
            <w:r>
              <w:rPr>
                <w:rFonts w:hint="eastAsia"/>
                <w:b/>
                <w:bCs/>
                <w:color w:val="000000" w:themeColor="text1"/>
                <w:sz w:val="24"/>
              </w:rPr>
              <w:t>/</w:t>
            </w:r>
          </w:p>
        </w:tc>
      </w:tr>
      <w:tr w:rsidR="009967D1" w14:paraId="3D1C3ACC" w14:textId="77777777">
        <w:trPr>
          <w:trHeight w:val="1651"/>
          <w:jc w:val="center"/>
        </w:trPr>
        <w:tc>
          <w:tcPr>
            <w:tcW w:w="9653" w:type="dxa"/>
            <w:gridSpan w:val="11"/>
            <w:vAlign w:val="center"/>
          </w:tcPr>
          <w:p w14:paraId="43A8EA95" w14:textId="77777777" w:rsidR="009967D1" w:rsidRDefault="009967D1"/>
          <w:p w14:paraId="423C33F0" w14:textId="77777777" w:rsidR="009967D1" w:rsidRDefault="0080134E">
            <w:r>
              <w:rPr>
                <w:b/>
                <w:bCs/>
              </w:rPr>
              <w:t>Clinical significance:</w:t>
            </w:r>
            <w:r>
              <w:t xml:space="preserve"> Records the electrical activity of the heart; used to diagnose arrhythmias (e.g., premature beats, atrial fibrillation, conduction block), myocardial ischemia/infarction, cardiac enlargement/hypertrophy, and to assess cardiac function and surgical risk.</w:t>
            </w:r>
          </w:p>
          <w:p w14:paraId="1AA167EA" w14:textId="77777777" w:rsidR="009967D1" w:rsidRDefault="0080134E">
            <w:r>
              <w:rPr>
                <w:b/>
                <w:bCs/>
              </w:rPr>
              <w:t>临床意义：</w:t>
            </w:r>
            <w:r>
              <w:t>记录心脏电活动，诊断心律失常（如早搏、房颤、传导阻滞）、心肌缺血/梗死、心脏扩大/肥厚等，评估心脏功能、手术风险。</w:t>
            </w:r>
          </w:p>
        </w:tc>
      </w:tr>
    </w:tbl>
    <w:p w14:paraId="7F088630" w14:textId="77777777" w:rsidR="009967D1" w:rsidRDefault="009967D1" w:rsidP="004619DA">
      <w:pPr>
        <w:pStyle w:val="0"/>
      </w:pPr>
    </w:p>
    <w:p w14:paraId="297570A3" w14:textId="760AB616" w:rsidR="00B36276" w:rsidRDefault="00B36276" w:rsidP="00B36276">
      <w:pPr>
        <w:pStyle w:val="4-"/>
      </w:pPr>
      <w:r>
        <w:rPr>
          <w:rFonts w:hint="eastAsia"/>
        </w:rPr>
        <w:t>T</w:t>
      </w:r>
      <w:r w:rsidRPr="00B36276">
        <w:t xml:space="preserve">esting </w:t>
      </w:r>
      <w:r>
        <w:rPr>
          <w:rFonts w:hint="eastAsia"/>
        </w:rPr>
        <w:t>R</w:t>
      </w:r>
      <w:r w:rsidRPr="00B36276">
        <w:rPr>
          <w:rFonts w:hint="eastAsia"/>
        </w:rPr>
        <w:t>e</w:t>
      </w:r>
      <w:r w:rsidRPr="00B36276">
        <w:t>sult</w:t>
      </w:r>
      <w:r>
        <w:rPr>
          <w:rFonts w:hint="eastAsia"/>
        </w:rPr>
        <w:t>检测结果</w:t>
      </w:r>
    </w:p>
    <w:p w14:paraId="3CA72AFB" w14:textId="77777777" w:rsidR="00B36276" w:rsidRPr="00B36276" w:rsidRDefault="00B36276" w:rsidP="00B36276">
      <w:pPr>
        <w:pStyle w:val="0"/>
      </w:pPr>
    </w:p>
    <w:p w14:paraId="0510D6BA" w14:textId="77777777" w:rsidR="009967D1" w:rsidRDefault="009967D1" w:rsidP="004619DA">
      <w:pPr>
        <w:pStyle w:val="0"/>
      </w:pPr>
    </w:p>
    <w:p w14:paraId="14BBC929" w14:textId="0320EA69" w:rsidR="00B36276" w:rsidRDefault="00B36276">
      <w:pPr>
        <w:widowControl/>
        <w:spacing w:line="240" w:lineRule="auto"/>
        <w:jc w:val="left"/>
        <w:rPr>
          <w:rFonts w:ascii="Times New Roman" w:eastAsia="楷体" w:hAnsi="Times New Roman" w:cs="Times New Roman"/>
          <w:sz w:val="24"/>
          <w:szCs w:val="22"/>
        </w:rPr>
      </w:pPr>
      <w:r>
        <w:br w:type="page"/>
      </w:r>
    </w:p>
    <w:p w14:paraId="06CE7872" w14:textId="77777777" w:rsidR="00B36276" w:rsidRDefault="00B36276" w:rsidP="00B36276"/>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6"/>
        <w:gridCol w:w="400"/>
        <w:gridCol w:w="2047"/>
        <w:gridCol w:w="1655"/>
        <w:gridCol w:w="51"/>
        <w:gridCol w:w="796"/>
        <w:gridCol w:w="27"/>
        <w:gridCol w:w="663"/>
        <w:gridCol w:w="1250"/>
        <w:gridCol w:w="662"/>
        <w:gridCol w:w="706"/>
      </w:tblGrid>
      <w:tr w:rsidR="00B36276" w14:paraId="633749B4" w14:textId="77777777" w:rsidTr="005971A0">
        <w:trPr>
          <w:trHeight w:val="839"/>
          <w:jc w:val="center"/>
        </w:trPr>
        <w:tc>
          <w:tcPr>
            <w:tcW w:w="1150" w:type="dxa"/>
            <w:tcBorders>
              <w:top w:val="single" w:sz="4" w:space="0" w:color="auto"/>
              <w:bottom w:val="single" w:sz="4" w:space="0" w:color="auto"/>
            </w:tcBorders>
            <w:vAlign w:val="center"/>
          </w:tcPr>
          <w:p w14:paraId="39EF60BE"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2F5F1CC3"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6EDF201B"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00DF9FA7"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1DFC761A"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794B9245"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B36276" w14:paraId="6DBB4D3B" w14:textId="77777777" w:rsidTr="005971A0">
        <w:trPr>
          <w:trHeight w:val="1111"/>
          <w:jc w:val="center"/>
        </w:trPr>
        <w:tc>
          <w:tcPr>
            <w:tcW w:w="9653" w:type="dxa"/>
            <w:gridSpan w:val="11"/>
            <w:tcBorders>
              <w:top w:val="single" w:sz="4" w:space="0" w:color="auto"/>
              <w:bottom w:val="single" w:sz="4" w:space="0" w:color="auto"/>
            </w:tcBorders>
            <w:vAlign w:val="center"/>
          </w:tcPr>
          <w:p w14:paraId="5B135E5F" w14:textId="77777777" w:rsidR="00B36276" w:rsidRDefault="00B36276" w:rsidP="005971A0">
            <w:pPr>
              <w:spacing w:line="400" w:lineRule="exact"/>
              <w:jc w:val="center"/>
              <w:rPr>
                <w:b/>
                <w:bCs/>
                <w:color w:val="323E4F" w:themeColor="text2" w:themeShade="BF"/>
                <w:sz w:val="32"/>
                <w:szCs w:val="32"/>
              </w:rPr>
            </w:pPr>
            <w:r>
              <w:rPr>
                <w:rFonts w:hint="eastAsia"/>
                <w:b/>
                <w:bCs/>
                <w:color w:val="323E4F" w:themeColor="text2" w:themeShade="BF"/>
                <w:sz w:val="32"/>
                <w:szCs w:val="32"/>
              </w:rPr>
              <w:t>Imaging</w:t>
            </w:r>
          </w:p>
          <w:p w14:paraId="11185681" w14:textId="77777777" w:rsidR="00B36276" w:rsidRDefault="00B36276" w:rsidP="005971A0">
            <w:pPr>
              <w:spacing w:line="400" w:lineRule="exact"/>
              <w:jc w:val="center"/>
              <w:rPr>
                <w:color w:val="323E4F" w:themeColor="text2" w:themeShade="BF"/>
                <w:sz w:val="32"/>
                <w:szCs w:val="32"/>
              </w:rPr>
            </w:pPr>
            <w:r>
              <w:rPr>
                <w:rFonts w:hint="eastAsia"/>
                <w:b/>
                <w:bCs/>
                <w:color w:val="323E4F" w:themeColor="text2" w:themeShade="BF"/>
                <w:sz w:val="32"/>
                <w:szCs w:val="32"/>
              </w:rPr>
              <w:t>影像学检查</w:t>
            </w:r>
          </w:p>
        </w:tc>
      </w:tr>
      <w:tr w:rsidR="00B36276" w14:paraId="3923F078" w14:textId="77777777" w:rsidTr="005971A0">
        <w:trPr>
          <w:trHeight w:hRule="exact" w:val="113"/>
          <w:jc w:val="center"/>
        </w:trPr>
        <w:tc>
          <w:tcPr>
            <w:tcW w:w="1560" w:type="dxa"/>
            <w:gridSpan w:val="2"/>
            <w:tcBorders>
              <w:top w:val="single" w:sz="4" w:space="0" w:color="auto"/>
            </w:tcBorders>
            <w:vAlign w:val="center"/>
          </w:tcPr>
          <w:p w14:paraId="458EBD61" w14:textId="77777777" w:rsidR="00B36276" w:rsidRDefault="00B36276"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0041020" w14:textId="77777777" w:rsidR="00B36276" w:rsidRDefault="00B36276"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6EB65F5" w14:textId="77777777" w:rsidR="00B36276" w:rsidRDefault="00B36276"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FB322AD" w14:textId="77777777" w:rsidR="00B36276" w:rsidRDefault="00B36276"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64602F0" w14:textId="77777777" w:rsidR="00B36276" w:rsidRDefault="00B36276"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26EBA4F4" w14:textId="77777777" w:rsidR="00B36276" w:rsidRDefault="00B36276" w:rsidP="005971A0">
            <w:pPr>
              <w:spacing w:line="300" w:lineRule="exact"/>
              <w:jc w:val="right"/>
              <w:rPr>
                <w:color w:val="323E4F" w:themeColor="text2" w:themeShade="BF"/>
                <w:sz w:val="2"/>
                <w:szCs w:val="2"/>
              </w:rPr>
            </w:pPr>
          </w:p>
        </w:tc>
      </w:tr>
      <w:tr w:rsidR="00B36276" w14:paraId="44C50215" w14:textId="77777777" w:rsidTr="005971A0">
        <w:trPr>
          <w:trHeight w:val="432"/>
          <w:jc w:val="center"/>
        </w:trPr>
        <w:tc>
          <w:tcPr>
            <w:tcW w:w="1150" w:type="dxa"/>
            <w:vAlign w:val="center"/>
          </w:tcPr>
          <w:p w14:paraId="32CCFE8A" w14:textId="2BFAF834" w:rsidR="00B36276" w:rsidRDefault="00B36276" w:rsidP="00B36276">
            <w:pPr>
              <w:spacing w:line="400" w:lineRule="exact"/>
              <w:jc w:val="center"/>
              <w:rPr>
                <w:b/>
                <w:bCs/>
                <w:color w:val="000000" w:themeColor="text1"/>
                <w:sz w:val="24"/>
              </w:rPr>
            </w:pPr>
            <w:r>
              <w:rPr>
                <w:rFonts w:hint="eastAsia"/>
                <w:b/>
                <w:bCs/>
                <w:color w:val="000000" w:themeColor="text1"/>
                <w:sz w:val="24"/>
              </w:rPr>
              <w:t xml:space="preserve">Color Doppler Ultrasound </w:t>
            </w:r>
          </w:p>
        </w:tc>
        <w:tc>
          <w:tcPr>
            <w:tcW w:w="2536" w:type="dxa"/>
            <w:gridSpan w:val="2"/>
            <w:vAlign w:val="center"/>
          </w:tcPr>
          <w:p w14:paraId="7D4DD0E4" w14:textId="5611DE0F" w:rsidR="00B36276" w:rsidRDefault="00B36276" w:rsidP="00B36276">
            <w:pPr>
              <w:spacing w:line="400" w:lineRule="exact"/>
              <w:jc w:val="center"/>
              <w:rPr>
                <w:b/>
                <w:bCs/>
                <w:color w:val="000000" w:themeColor="text1"/>
                <w:sz w:val="24"/>
              </w:rPr>
            </w:pPr>
            <w:r>
              <w:rPr>
                <w:rFonts w:hint="eastAsia"/>
                <w:b/>
                <w:bCs/>
                <w:color w:val="000000" w:themeColor="text1"/>
                <w:sz w:val="24"/>
              </w:rPr>
              <w:t>彩色 B 超检查</w:t>
            </w:r>
          </w:p>
        </w:tc>
        <w:tc>
          <w:tcPr>
            <w:tcW w:w="1754" w:type="dxa"/>
            <w:gridSpan w:val="2"/>
            <w:vAlign w:val="center"/>
          </w:tcPr>
          <w:p w14:paraId="2D53B616" w14:textId="0680D41F" w:rsidR="00B36276" w:rsidRDefault="00B36276" w:rsidP="00B36276">
            <w:pPr>
              <w:spacing w:line="400" w:lineRule="exact"/>
              <w:jc w:val="center"/>
              <w:rPr>
                <w:b/>
                <w:bCs/>
                <w:color w:val="000000" w:themeColor="text1"/>
                <w:sz w:val="24"/>
              </w:rPr>
            </w:pPr>
          </w:p>
        </w:tc>
        <w:tc>
          <w:tcPr>
            <w:tcW w:w="825" w:type="dxa"/>
            <w:gridSpan w:val="2"/>
            <w:vAlign w:val="center"/>
          </w:tcPr>
          <w:p w14:paraId="7F7D3C2F" w14:textId="1756679B" w:rsidR="00B36276" w:rsidRDefault="00B36276" w:rsidP="00B36276">
            <w:pPr>
              <w:spacing w:line="400" w:lineRule="exact"/>
              <w:jc w:val="center"/>
              <w:rPr>
                <w:b/>
                <w:bCs/>
                <w:color w:val="000000" w:themeColor="text1"/>
                <w:sz w:val="24"/>
              </w:rPr>
            </w:pPr>
          </w:p>
        </w:tc>
        <w:tc>
          <w:tcPr>
            <w:tcW w:w="1980" w:type="dxa"/>
            <w:gridSpan w:val="2"/>
            <w:vAlign w:val="center"/>
          </w:tcPr>
          <w:p w14:paraId="027AE13F" w14:textId="68D15D94" w:rsidR="00B36276" w:rsidRDefault="00B36276" w:rsidP="00B36276">
            <w:pPr>
              <w:spacing w:line="400" w:lineRule="exact"/>
              <w:jc w:val="center"/>
              <w:rPr>
                <w:b/>
                <w:bCs/>
                <w:color w:val="000000" w:themeColor="text1"/>
                <w:sz w:val="24"/>
              </w:rPr>
            </w:pPr>
          </w:p>
        </w:tc>
        <w:tc>
          <w:tcPr>
            <w:tcW w:w="1408" w:type="dxa"/>
            <w:gridSpan w:val="2"/>
            <w:vAlign w:val="center"/>
          </w:tcPr>
          <w:p w14:paraId="3F1FDF44" w14:textId="42FFE06A" w:rsidR="00B36276" w:rsidRDefault="00B36276" w:rsidP="00B36276">
            <w:pPr>
              <w:spacing w:line="400" w:lineRule="exact"/>
              <w:jc w:val="center"/>
              <w:rPr>
                <w:b/>
                <w:bCs/>
                <w:color w:val="000000" w:themeColor="text1"/>
                <w:sz w:val="24"/>
              </w:rPr>
            </w:pPr>
          </w:p>
        </w:tc>
      </w:tr>
      <w:tr w:rsidR="00B36276" w14:paraId="0AEAC0FA" w14:textId="77777777" w:rsidTr="005971A0">
        <w:trPr>
          <w:trHeight w:val="1651"/>
          <w:jc w:val="center"/>
        </w:trPr>
        <w:tc>
          <w:tcPr>
            <w:tcW w:w="9653" w:type="dxa"/>
            <w:gridSpan w:val="11"/>
            <w:vAlign w:val="center"/>
          </w:tcPr>
          <w:p w14:paraId="5C600C80" w14:textId="77777777" w:rsidR="00B36276" w:rsidRDefault="00B36276" w:rsidP="00B36276"/>
          <w:p w14:paraId="6BCC8169" w14:textId="77777777" w:rsidR="00B36276" w:rsidRDefault="00B36276" w:rsidP="00B36276">
            <w:r>
              <w:rPr>
                <w:b/>
                <w:bCs/>
              </w:rPr>
              <w:t>Clinical significance:</w:t>
            </w:r>
            <w:r>
              <w:t xml:space="preserve"> Uses ultrasound imaging to observe organ morphology, structure, and blood flow; screens for tumors, stones, inflammation, malformations, and evaluates organ function.</w:t>
            </w:r>
          </w:p>
          <w:p w14:paraId="1F8D7D1A" w14:textId="77777777" w:rsidR="00B36276" w:rsidRDefault="00B36276" w:rsidP="00B36276">
            <w:r>
              <w:rPr>
                <w:b/>
                <w:bCs/>
              </w:rPr>
              <w:t>临床意义：</w:t>
            </w:r>
            <w:r>
              <w:t>通过超声波成像，观察器官形态、结构、血流，筛查肿瘤、结石、炎症、畸形等疾病，评估器官功能。</w:t>
            </w:r>
          </w:p>
          <w:p w14:paraId="140124BA" w14:textId="6D5120B1" w:rsidR="00B36276" w:rsidRDefault="00B36276" w:rsidP="00B36276"/>
        </w:tc>
      </w:tr>
    </w:tbl>
    <w:p w14:paraId="6AF9DC48" w14:textId="77777777" w:rsidR="00B36276" w:rsidRDefault="00B36276" w:rsidP="00B36276">
      <w:pPr>
        <w:pStyle w:val="0"/>
      </w:pPr>
    </w:p>
    <w:p w14:paraId="0E84AF78" w14:textId="77777777" w:rsidR="00B36276" w:rsidRDefault="00B36276" w:rsidP="00B36276">
      <w:pPr>
        <w:pStyle w:val="4-"/>
      </w:pPr>
      <w:r>
        <w:rPr>
          <w:rFonts w:hint="eastAsia"/>
        </w:rPr>
        <w:t>T</w:t>
      </w:r>
      <w:r w:rsidRPr="00B36276">
        <w:t xml:space="preserve">esting </w:t>
      </w:r>
      <w:r>
        <w:rPr>
          <w:rFonts w:hint="eastAsia"/>
        </w:rPr>
        <w:t>R</w:t>
      </w:r>
      <w:r w:rsidRPr="00B36276">
        <w:rPr>
          <w:rFonts w:hint="eastAsia"/>
        </w:rPr>
        <w:t>e</w:t>
      </w:r>
      <w:r w:rsidRPr="00B36276">
        <w:t>sult</w:t>
      </w:r>
      <w:r>
        <w:rPr>
          <w:rFonts w:hint="eastAsia"/>
        </w:rPr>
        <w:t>检测结果</w:t>
      </w:r>
    </w:p>
    <w:p w14:paraId="14D3ABFC" w14:textId="77777777" w:rsidR="009967D1" w:rsidRDefault="009967D1" w:rsidP="004619DA">
      <w:pPr>
        <w:pStyle w:val="0"/>
      </w:pPr>
    </w:p>
    <w:p w14:paraId="66EDB7F8" w14:textId="77777777" w:rsidR="00B36276" w:rsidRDefault="00B36276" w:rsidP="004619DA">
      <w:pPr>
        <w:pStyle w:val="0"/>
      </w:pPr>
    </w:p>
    <w:p w14:paraId="4864253F" w14:textId="77777777" w:rsidR="00B36276" w:rsidRDefault="00B36276" w:rsidP="004619DA">
      <w:pPr>
        <w:pStyle w:val="0"/>
      </w:pPr>
    </w:p>
    <w:p w14:paraId="1779A2EA" w14:textId="30CD6929" w:rsidR="00B36276" w:rsidRDefault="00B36276">
      <w:pPr>
        <w:widowControl/>
        <w:spacing w:line="240" w:lineRule="auto"/>
        <w:jc w:val="left"/>
        <w:rPr>
          <w:rFonts w:ascii="Times New Roman" w:eastAsia="楷体" w:hAnsi="Times New Roman" w:cs="Times New Roman"/>
          <w:sz w:val="24"/>
          <w:szCs w:val="22"/>
        </w:rPr>
      </w:pPr>
      <w:r>
        <w:br w:type="page"/>
      </w:r>
    </w:p>
    <w:p w14:paraId="335A91AF" w14:textId="77777777" w:rsidR="00B36276" w:rsidRDefault="00B36276" w:rsidP="00B36276"/>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2"/>
        <w:gridCol w:w="391"/>
        <w:gridCol w:w="1991"/>
        <w:gridCol w:w="1621"/>
        <w:gridCol w:w="50"/>
        <w:gridCol w:w="796"/>
        <w:gridCol w:w="27"/>
        <w:gridCol w:w="651"/>
        <w:gridCol w:w="1215"/>
        <w:gridCol w:w="645"/>
        <w:gridCol w:w="694"/>
      </w:tblGrid>
      <w:tr w:rsidR="00B36276" w14:paraId="65FDC57E" w14:textId="77777777" w:rsidTr="005971A0">
        <w:trPr>
          <w:trHeight w:val="839"/>
          <w:jc w:val="center"/>
        </w:trPr>
        <w:tc>
          <w:tcPr>
            <w:tcW w:w="1150" w:type="dxa"/>
            <w:tcBorders>
              <w:top w:val="single" w:sz="4" w:space="0" w:color="auto"/>
              <w:bottom w:val="single" w:sz="4" w:space="0" w:color="auto"/>
            </w:tcBorders>
            <w:vAlign w:val="center"/>
          </w:tcPr>
          <w:p w14:paraId="3493AA89"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200219F2"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0BAA1A08"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17B55277"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2229637E"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28DA9E75"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B36276" w14:paraId="5BDAFD9D" w14:textId="77777777" w:rsidTr="005971A0">
        <w:trPr>
          <w:trHeight w:val="1111"/>
          <w:jc w:val="center"/>
        </w:trPr>
        <w:tc>
          <w:tcPr>
            <w:tcW w:w="9653" w:type="dxa"/>
            <w:gridSpan w:val="11"/>
            <w:tcBorders>
              <w:top w:val="single" w:sz="4" w:space="0" w:color="auto"/>
              <w:bottom w:val="single" w:sz="4" w:space="0" w:color="auto"/>
            </w:tcBorders>
            <w:vAlign w:val="center"/>
          </w:tcPr>
          <w:p w14:paraId="538E6E8E" w14:textId="77777777" w:rsidR="00B36276" w:rsidRDefault="00B36276" w:rsidP="005971A0">
            <w:pPr>
              <w:spacing w:line="400" w:lineRule="exact"/>
              <w:jc w:val="center"/>
              <w:rPr>
                <w:b/>
                <w:bCs/>
                <w:color w:val="323E4F" w:themeColor="text2" w:themeShade="BF"/>
                <w:sz w:val="32"/>
                <w:szCs w:val="32"/>
              </w:rPr>
            </w:pPr>
            <w:r>
              <w:rPr>
                <w:rFonts w:hint="eastAsia"/>
                <w:b/>
                <w:bCs/>
                <w:color w:val="323E4F" w:themeColor="text2" w:themeShade="BF"/>
                <w:sz w:val="32"/>
                <w:szCs w:val="32"/>
              </w:rPr>
              <w:t>Imaging</w:t>
            </w:r>
          </w:p>
          <w:p w14:paraId="1A341A20" w14:textId="77777777" w:rsidR="00B36276" w:rsidRDefault="00B36276" w:rsidP="005971A0">
            <w:pPr>
              <w:spacing w:line="400" w:lineRule="exact"/>
              <w:jc w:val="center"/>
              <w:rPr>
                <w:color w:val="323E4F" w:themeColor="text2" w:themeShade="BF"/>
                <w:sz w:val="32"/>
                <w:szCs w:val="32"/>
              </w:rPr>
            </w:pPr>
            <w:r>
              <w:rPr>
                <w:rFonts w:hint="eastAsia"/>
                <w:b/>
                <w:bCs/>
                <w:color w:val="323E4F" w:themeColor="text2" w:themeShade="BF"/>
                <w:sz w:val="32"/>
                <w:szCs w:val="32"/>
              </w:rPr>
              <w:t>影像学检查</w:t>
            </w:r>
          </w:p>
        </w:tc>
      </w:tr>
      <w:tr w:rsidR="00B36276" w14:paraId="24D318E7" w14:textId="77777777" w:rsidTr="005971A0">
        <w:trPr>
          <w:trHeight w:hRule="exact" w:val="113"/>
          <w:jc w:val="center"/>
        </w:trPr>
        <w:tc>
          <w:tcPr>
            <w:tcW w:w="1560" w:type="dxa"/>
            <w:gridSpan w:val="2"/>
            <w:tcBorders>
              <w:top w:val="single" w:sz="4" w:space="0" w:color="auto"/>
            </w:tcBorders>
            <w:vAlign w:val="center"/>
          </w:tcPr>
          <w:p w14:paraId="7B404E84" w14:textId="77777777" w:rsidR="00B36276" w:rsidRDefault="00B36276"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D112007" w14:textId="77777777" w:rsidR="00B36276" w:rsidRDefault="00B36276"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50692F8" w14:textId="77777777" w:rsidR="00B36276" w:rsidRDefault="00B36276"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84119A0" w14:textId="77777777" w:rsidR="00B36276" w:rsidRDefault="00B36276"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480C752" w14:textId="77777777" w:rsidR="00B36276" w:rsidRDefault="00B36276"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3B6B7778" w14:textId="77777777" w:rsidR="00B36276" w:rsidRDefault="00B36276" w:rsidP="005971A0">
            <w:pPr>
              <w:spacing w:line="300" w:lineRule="exact"/>
              <w:jc w:val="right"/>
              <w:rPr>
                <w:color w:val="323E4F" w:themeColor="text2" w:themeShade="BF"/>
                <w:sz w:val="2"/>
                <w:szCs w:val="2"/>
              </w:rPr>
            </w:pPr>
          </w:p>
        </w:tc>
      </w:tr>
      <w:tr w:rsidR="00B36276" w14:paraId="21BE1BD3" w14:textId="77777777" w:rsidTr="005971A0">
        <w:trPr>
          <w:trHeight w:val="432"/>
          <w:jc w:val="center"/>
        </w:trPr>
        <w:tc>
          <w:tcPr>
            <w:tcW w:w="1150" w:type="dxa"/>
            <w:vAlign w:val="center"/>
          </w:tcPr>
          <w:p w14:paraId="516F1562" w14:textId="61B234E8" w:rsidR="00B36276" w:rsidRDefault="00B36276" w:rsidP="00B36276">
            <w:pPr>
              <w:spacing w:line="400" w:lineRule="exact"/>
              <w:jc w:val="center"/>
              <w:rPr>
                <w:b/>
                <w:bCs/>
                <w:color w:val="000000" w:themeColor="text1"/>
                <w:sz w:val="24"/>
              </w:rPr>
            </w:pPr>
            <w:r>
              <w:rPr>
                <w:rFonts w:hint="eastAsia"/>
                <w:b/>
                <w:bCs/>
                <w:color w:val="000000" w:themeColor="text1"/>
                <w:sz w:val="24"/>
              </w:rPr>
              <w:t>CT Examination</w:t>
            </w:r>
          </w:p>
        </w:tc>
        <w:tc>
          <w:tcPr>
            <w:tcW w:w="2536" w:type="dxa"/>
            <w:gridSpan w:val="2"/>
            <w:vAlign w:val="center"/>
          </w:tcPr>
          <w:p w14:paraId="2D9424AC" w14:textId="1E688DB4" w:rsidR="00B36276" w:rsidRDefault="00B36276" w:rsidP="00B36276">
            <w:pPr>
              <w:spacing w:line="400" w:lineRule="exact"/>
              <w:jc w:val="center"/>
              <w:rPr>
                <w:b/>
                <w:bCs/>
                <w:color w:val="000000" w:themeColor="text1"/>
                <w:sz w:val="24"/>
              </w:rPr>
            </w:pPr>
            <w:r>
              <w:rPr>
                <w:rFonts w:hint="eastAsia"/>
                <w:b/>
                <w:bCs/>
                <w:color w:val="000000" w:themeColor="text1"/>
                <w:sz w:val="24"/>
              </w:rPr>
              <w:t>CT 检查</w:t>
            </w:r>
          </w:p>
        </w:tc>
        <w:tc>
          <w:tcPr>
            <w:tcW w:w="1754" w:type="dxa"/>
            <w:gridSpan w:val="2"/>
            <w:vAlign w:val="center"/>
          </w:tcPr>
          <w:p>
            <w:r>
              <w:t>{{CTEXAMINATION_result}}</w:t>
            </w:r>
          </w:p>
        </w:tc>
        <w:tc>
          <w:tcPr>
            <w:tcW w:w="825" w:type="dxa"/>
            <w:gridSpan w:val="2"/>
            <w:vAlign w:val="center"/>
          </w:tcPr>
          <w:p>
            <w:r>
              <w:t>{{CTEXAMINATION_point}}</w:t>
            </w:r>
          </w:p>
        </w:tc>
        <w:tc>
          <w:tcPr>
            <w:tcW w:w="1980" w:type="dxa"/>
            <w:gridSpan w:val="2"/>
            <w:vAlign w:val="center"/>
          </w:tcPr>
          <w:p>
            <w:r>
              <w:t>{{CTEXAMINATION_refer}}</w:t>
            </w:r>
          </w:p>
        </w:tc>
        <w:tc>
          <w:tcPr>
            <w:tcW w:w="1408" w:type="dxa"/>
            <w:gridSpan w:val="2"/>
            <w:vAlign w:val="center"/>
          </w:tcPr>
          <w:p>
            <w:r>
              <w:t>{{CTEXAMINATION_unit}}</w:t>
            </w:r>
          </w:p>
        </w:tc>
      </w:tr>
      <w:tr w:rsidR="00B36276" w14:paraId="7028A53E" w14:textId="77777777" w:rsidTr="005971A0">
        <w:trPr>
          <w:trHeight w:val="1651"/>
          <w:jc w:val="center"/>
        </w:trPr>
        <w:tc>
          <w:tcPr>
            <w:tcW w:w="9653" w:type="dxa"/>
            <w:gridSpan w:val="11"/>
            <w:vAlign w:val="center"/>
          </w:tcPr>
          <w:p w14:paraId="153E3164" w14:textId="77777777" w:rsidR="00B36276" w:rsidRDefault="00B36276" w:rsidP="005971A0"/>
          <w:p w14:paraId="4467B10B" w14:textId="77777777" w:rsidR="00B36276" w:rsidRDefault="00B36276" w:rsidP="00B36276">
            <w:r>
              <w:rPr>
                <w:b/>
                <w:bCs/>
              </w:rPr>
              <w:t>Clinical significance:</w:t>
            </w:r>
            <w:r>
              <w:t xml:space="preserve"> Uses X-rays and computer imaging to provide detailed anatomical visualization; diagnoses tumors (e.g., lung cancer, liver cancer), fractures, vascular diseases (e.g., aortic dissection), infections (e.g., pneumonia, tuberculosis); offers higher resolution than ultrasound and X-ray.</w:t>
            </w:r>
          </w:p>
          <w:p w14:paraId="3860AF0F" w14:textId="661D5989" w:rsidR="00B36276" w:rsidRDefault="00B36276" w:rsidP="00B36276">
            <w:r>
              <w:rPr>
                <w:b/>
                <w:bCs/>
              </w:rPr>
              <w:t>临床意义：</w:t>
            </w:r>
            <w:r>
              <w:t>利用X线和计算机成像，清晰显示人体结构，诊断肿瘤（如肺癌、肝癌）、骨折、血管疾病（如主动脉夹层）、感染（如肺炎、结核）等，分辨率高于B超、X线。</w:t>
            </w:r>
          </w:p>
        </w:tc>
      </w:tr>
    </w:tbl>
    <w:p w14:paraId="625830B6" w14:textId="77777777" w:rsidR="00B36276" w:rsidRDefault="00B36276" w:rsidP="00B36276">
      <w:pPr>
        <w:pStyle w:val="0"/>
      </w:pPr>
    </w:p>
    <w:p w14:paraId="0B5CF406" w14:textId="77777777" w:rsidR="00B36276" w:rsidRDefault="00B36276" w:rsidP="00B36276">
      <w:pPr>
        <w:pStyle w:val="0"/>
      </w:pPr>
    </w:p>
    <w:p w14:paraId="6C519340" w14:textId="77777777" w:rsidR="00B36276" w:rsidRDefault="00B36276" w:rsidP="00B36276">
      <w:pPr>
        <w:pStyle w:val="4-"/>
      </w:pPr>
      <w:r>
        <w:rPr>
          <w:rFonts w:hint="eastAsia"/>
        </w:rPr>
        <w:t>T</w:t>
      </w:r>
      <w:r w:rsidRPr="00B36276">
        <w:t xml:space="preserve">esting </w:t>
      </w:r>
      <w:r>
        <w:rPr>
          <w:rFonts w:hint="eastAsia"/>
        </w:rPr>
        <w:t>R</w:t>
      </w:r>
      <w:r w:rsidRPr="00B36276">
        <w:rPr>
          <w:rFonts w:hint="eastAsia"/>
        </w:rPr>
        <w:t>e</w:t>
      </w:r>
      <w:r w:rsidRPr="00B36276">
        <w:t>sult</w:t>
      </w:r>
      <w:r>
        <w:rPr>
          <w:rFonts w:hint="eastAsia"/>
        </w:rPr>
        <w:t>检测结果</w:t>
      </w:r>
    </w:p>
    <w:p w14:paraId="108AF5FD" w14:textId="77777777" w:rsidR="00B36276" w:rsidRDefault="00B36276" w:rsidP="00B36276">
      <w:pPr>
        <w:pStyle w:val="0"/>
      </w:pPr>
    </w:p>
    <w:p w14:paraId="2D5E22D3" w14:textId="77777777" w:rsidR="00B36276" w:rsidRPr="00B36276" w:rsidRDefault="00B36276" w:rsidP="00B36276">
      <w:pPr>
        <w:pStyle w:val="0"/>
      </w:pPr>
    </w:p>
    <w:p w14:paraId="3E0BA86D" w14:textId="77777777" w:rsidR="00B36276" w:rsidRDefault="00B36276" w:rsidP="00B36276">
      <w:pPr>
        <w:pStyle w:val="0"/>
      </w:pPr>
    </w:p>
    <w:p w14:paraId="16CC1385" w14:textId="77777777" w:rsidR="00B36276" w:rsidRDefault="00B36276" w:rsidP="00B36276">
      <w:pPr>
        <w:pStyle w:val="0"/>
      </w:pPr>
    </w:p>
    <w:p w14:paraId="0619FFC1" w14:textId="77777777" w:rsidR="009967D1" w:rsidRDefault="009967D1">
      <w:pPr>
        <w:jc w:val="center"/>
        <w:rPr>
          <w:b/>
          <w:bCs/>
          <w:color w:val="323E4F" w:themeColor="text2" w:themeShade="BF"/>
          <w:sz w:val="36"/>
          <w:szCs w:val="36"/>
        </w:rPr>
        <w:sectPr w:rsidR="009967D1">
          <w:pgSz w:w="11901" w:h="16817"/>
          <w:pgMar w:top="1418" w:right="1134" w:bottom="1021" w:left="1191" w:header="851" w:footer="992" w:gutter="0"/>
          <w:cols w:space="425"/>
          <w:docGrid w:linePitch="312"/>
        </w:sectPr>
      </w:pPr>
    </w:p>
    <w:p w14:paraId="2E75460A" w14:textId="4AB16EC6" w:rsidR="009967D1" w:rsidRDefault="002A401B" w:rsidP="00A642C1">
      <w:pPr>
        <w:pStyle w:val="3-"/>
      </w:pPr>
      <w:r w:rsidRPr="002A401B">
        <w:lastRenderedPageBreak/>
        <w:t>Female-specific</w:t>
      </w:r>
      <w:r w:rsidR="004C529C">
        <w:br/>
      </w:r>
      <w:r w:rsidR="0080134E">
        <w:rPr>
          <w:rFonts w:hint="eastAsia"/>
        </w:rPr>
        <w:t>女性专项</w:t>
      </w:r>
      <w:r>
        <w:rPr>
          <w:rFonts w:hint="eastAsia"/>
        </w:rPr>
        <w:t>检查</w:t>
      </w:r>
    </w:p>
    <w:p w14:paraId="66022563" w14:textId="77777777" w:rsidR="004C529C" w:rsidRDefault="004C529C" w:rsidP="004C529C">
      <w:pPr>
        <w:pStyle w:val="0"/>
      </w:pPr>
    </w:p>
    <w:p w14:paraId="5CA97D2A" w14:textId="463F6E49" w:rsidR="004C529C" w:rsidRDefault="004C529C" w:rsidP="004C529C">
      <w:pPr>
        <w:pStyle w:val="00"/>
      </w:pPr>
      <w:r w:rsidRPr="004C529C">
        <w:t>Female health screening is an essential component of safeguarding women’s reproductive health, detecting potential disease risks, and maintaining overall well-being. It primarily includes routine gynecological examinations and specialized gynecological assessments. These evaluations not only focus on the reproductive system but also help in the early detection of common gynecological conditions, cancer prevention, endocrine regulation, and general health maintenance.</w:t>
      </w:r>
    </w:p>
    <w:p w14:paraId="57ADC0B3" w14:textId="77777777" w:rsidR="004C529C" w:rsidRDefault="004C529C" w:rsidP="004C529C">
      <w:pPr>
        <w:pStyle w:val="0"/>
      </w:pPr>
      <w:r>
        <w:t>女性专项检查是保障女性生殖健康、发现潜在疾病风险和维护整体健康的重要环节，主要包括妇科常规检查和妇科专项检查。这类检查不仅针对女性的生殖系统，还能帮助及早发现常见的妇科疾病，预防肿瘤，维护内分泌与全身健康。</w:t>
      </w:r>
    </w:p>
    <w:p w14:paraId="3FC67F39" w14:textId="1F696FCC" w:rsidR="004C529C" w:rsidRDefault="004C529C" w:rsidP="004C529C">
      <w:pPr>
        <w:pStyle w:val="00"/>
      </w:pPr>
      <w:r w:rsidRPr="004C529C">
        <w:t>Routine gynecological examinations typically involve visual pelvic inspection, vaginal discharge analysis, and cervical cytology screening, aimed at identifying infections, inflammations, cervical lesions, and early signs of cervical cancer. Specialized gynecological assessments may include vaginal ultrasound, HPV testing, breast ultrasound, or mammography, providing detailed evaluation of the ovaries, uterus, and breasts. These tools assist in identifying conditions such as cysts, fibroids, polyps, breast nodules, and early-stage malignancies.</w:t>
      </w:r>
    </w:p>
    <w:p w14:paraId="3D0B92A3" w14:textId="33DE9524" w:rsidR="004C529C" w:rsidRDefault="004C529C" w:rsidP="004C529C">
      <w:pPr>
        <w:pStyle w:val="0"/>
      </w:pPr>
      <w:r>
        <w:t>妇科常规检查主要通过妇科视诊、阴道分泌物检查、宫颈细胞学筛查等方式，了解女性生殖道健康状况，发现炎症、感染、宫颈病变及早期宫颈癌风险。妇科专项检查则可进一步通过阴道彩超、宫颈</w:t>
      </w:r>
      <w:r>
        <w:t>HPV</w:t>
      </w:r>
      <w:r>
        <w:t>检测、乳腺超声或乳腺</w:t>
      </w:r>
      <w:r>
        <w:t>X</w:t>
      </w:r>
      <w:r>
        <w:t>线摄影等手段，对卵巢、子宫、乳腺等进行更精细的筛查，帮助发现囊肿、肌瘤、息肉、乳腺结节及恶性肿瘤的早期迹象。</w:t>
      </w:r>
    </w:p>
    <w:p w14:paraId="00054465" w14:textId="799DA6A9" w:rsidR="004C529C" w:rsidRDefault="004C529C" w:rsidP="004C529C">
      <w:pPr>
        <w:pStyle w:val="00"/>
      </w:pPr>
      <w:r w:rsidRPr="004C529C">
        <w:t>In preventive healthcare, female health screening is valuable not only for early disease detection and diagnosis but also for preconception evaluation, menopause management, and long-term health maintenance. For instance, regular gynecological checkups significantly reduce the risk of cervical and breast cancer, making them indispensable in women’s health management. Women with a family history of cancer, menstrual irregularities, pregnancy plans, or those entering menopause should pay particular attention to these screenings.</w:t>
      </w:r>
    </w:p>
    <w:p w14:paraId="6FD90FFD" w14:textId="651D8D9D" w:rsidR="004C529C" w:rsidRDefault="004C529C" w:rsidP="004C529C">
      <w:pPr>
        <w:pStyle w:val="0"/>
      </w:pPr>
      <w:r>
        <w:t>在健康管理中，女性专项检查的意义不仅在于疾病早筛与诊断，还在于孕前评估、更年期管理和长期健康维护。例如，定期妇科检查能够有效预防宫颈癌和乳腺癌，是女性健康体检中不可或缺的部分。对于有家族肿瘤史、月经紊乱、备孕或进入更年期的女性，更应重视专项检查。</w:t>
      </w:r>
    </w:p>
    <w:p w14:paraId="4E44ADDA" w14:textId="11560CFC" w:rsidR="004C529C" w:rsidRDefault="00E0487F" w:rsidP="004C529C">
      <w:pPr>
        <w:pStyle w:val="0"/>
      </w:pPr>
      <w:r w:rsidRPr="009E1205">
        <w:rPr>
          <w:noProof/>
        </w:rPr>
        <w:drawing>
          <wp:anchor distT="0" distB="0" distL="114300" distR="114300" simplePos="0" relativeHeight="251709440" behindDoc="0" locked="0" layoutInCell="1" allowOverlap="1" wp14:anchorId="17ED53AD" wp14:editId="1432DF6E">
            <wp:simplePos x="0" y="0"/>
            <wp:positionH relativeFrom="column">
              <wp:posOffset>1270</wp:posOffset>
            </wp:positionH>
            <wp:positionV relativeFrom="paragraph">
              <wp:posOffset>344805</wp:posOffset>
            </wp:positionV>
            <wp:extent cx="6080125" cy="1706245"/>
            <wp:effectExtent l="0" t="0" r="3175" b="0"/>
            <wp:wrapNone/>
            <wp:docPr id="882778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77876" name="图片 1"/>
                    <pic:cNvPicPr/>
                  </pic:nvPicPr>
                  <pic:blipFill rotWithShape="1">
                    <a:blip r:embed="rId36">
                      <a:extLst>
                        <a:ext uri="{28A0092B-C50C-407E-A947-70E740481C1C}">
                          <a14:useLocalDpi xmlns:a14="http://schemas.microsoft.com/office/drawing/2010/main" val="0"/>
                        </a:ext>
                      </a:extLst>
                    </a:blip>
                    <a:srcRect t="33799" b="11559"/>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4DD024" w14:textId="5D834E0C" w:rsidR="00E0487F" w:rsidRPr="004C529C" w:rsidRDefault="00E0487F" w:rsidP="004C529C">
      <w:pPr>
        <w:pStyle w:val="0"/>
      </w:pPr>
    </w:p>
    <w:p w14:paraId="33211FF3" w14:textId="77777777" w:rsidR="009967D1" w:rsidRDefault="0080134E">
      <w:pPr>
        <w:widowControl/>
        <w:jc w:val="left"/>
      </w:pPr>
      <w:r>
        <w:br w:type="page"/>
      </w:r>
    </w:p>
    <w:p w14:paraId="18D3847F"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7"/>
        <w:gridCol w:w="386"/>
        <w:gridCol w:w="1953"/>
        <w:gridCol w:w="1600"/>
        <w:gridCol w:w="49"/>
        <w:gridCol w:w="796"/>
        <w:gridCol w:w="27"/>
        <w:gridCol w:w="642"/>
        <w:gridCol w:w="1192"/>
        <w:gridCol w:w="634"/>
        <w:gridCol w:w="687"/>
      </w:tblGrid>
      <w:tr w:rsidR="009967D1" w14:paraId="43D7E08F" w14:textId="77777777">
        <w:trPr>
          <w:trHeight w:val="839"/>
          <w:jc w:val="center"/>
        </w:trPr>
        <w:tc>
          <w:tcPr>
            <w:tcW w:w="1150" w:type="dxa"/>
            <w:tcBorders>
              <w:top w:val="single" w:sz="4" w:space="0" w:color="auto"/>
              <w:bottom w:val="single" w:sz="4" w:space="0" w:color="auto"/>
            </w:tcBorders>
            <w:vAlign w:val="center"/>
          </w:tcPr>
          <w:p w14:paraId="058EC01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506C4F4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6629581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5B253E4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3ED2EE0E"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3D0354C5"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247204EE" w14:textId="77777777">
        <w:trPr>
          <w:trHeight w:val="1111"/>
          <w:jc w:val="center"/>
        </w:trPr>
        <w:tc>
          <w:tcPr>
            <w:tcW w:w="9653" w:type="dxa"/>
            <w:gridSpan w:val="11"/>
            <w:tcBorders>
              <w:top w:val="single" w:sz="4" w:space="0" w:color="auto"/>
              <w:bottom w:val="single" w:sz="4" w:space="0" w:color="auto"/>
            </w:tcBorders>
            <w:vAlign w:val="center"/>
          </w:tcPr>
          <w:p w14:paraId="4BCEA35E"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Female-specific</w:t>
            </w:r>
          </w:p>
          <w:p w14:paraId="515E29AF"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女性专项</w:t>
            </w:r>
          </w:p>
        </w:tc>
      </w:tr>
      <w:tr w:rsidR="009967D1" w14:paraId="1ABECC5B" w14:textId="77777777">
        <w:trPr>
          <w:trHeight w:hRule="exact" w:val="113"/>
          <w:jc w:val="center"/>
        </w:trPr>
        <w:tc>
          <w:tcPr>
            <w:tcW w:w="1560" w:type="dxa"/>
            <w:gridSpan w:val="2"/>
            <w:tcBorders>
              <w:top w:val="single" w:sz="4" w:space="0" w:color="auto"/>
            </w:tcBorders>
            <w:vAlign w:val="center"/>
          </w:tcPr>
          <w:p w14:paraId="4533D69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0BBEDD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4A0378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17F41E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A114C75"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4AF0E28" w14:textId="77777777" w:rsidR="009967D1" w:rsidRDefault="009967D1">
            <w:pPr>
              <w:spacing w:line="300" w:lineRule="exact"/>
              <w:jc w:val="right"/>
              <w:rPr>
                <w:color w:val="323E4F" w:themeColor="text2" w:themeShade="BF"/>
                <w:sz w:val="2"/>
                <w:szCs w:val="2"/>
              </w:rPr>
            </w:pPr>
          </w:p>
        </w:tc>
      </w:tr>
      <w:tr w:rsidR="009967D1" w14:paraId="3FDC611C" w14:textId="77777777">
        <w:trPr>
          <w:trHeight w:val="432"/>
          <w:jc w:val="center"/>
        </w:trPr>
        <w:tc>
          <w:tcPr>
            <w:tcW w:w="1150" w:type="dxa"/>
            <w:vAlign w:val="center"/>
          </w:tcPr>
          <w:p w14:paraId="24B27EE6" w14:textId="77777777" w:rsidR="009967D1" w:rsidRDefault="0080134E">
            <w:pPr>
              <w:spacing w:line="400" w:lineRule="exact"/>
              <w:jc w:val="center"/>
              <w:rPr>
                <w:b/>
                <w:bCs/>
                <w:color w:val="000000" w:themeColor="text1"/>
                <w:sz w:val="24"/>
              </w:rPr>
            </w:pPr>
            <w:r>
              <w:rPr>
                <w:rFonts w:hint="eastAsia"/>
                <w:b/>
                <w:bCs/>
                <w:color w:val="000000" w:themeColor="text1"/>
                <w:sz w:val="24"/>
              </w:rPr>
              <w:t>Gynecological routine inspection</w:t>
            </w:r>
          </w:p>
        </w:tc>
        <w:tc>
          <w:tcPr>
            <w:tcW w:w="2536" w:type="dxa"/>
            <w:gridSpan w:val="2"/>
            <w:vAlign w:val="center"/>
          </w:tcPr>
          <w:p w14:paraId="6EBB0E1A" w14:textId="77777777" w:rsidR="009967D1" w:rsidRDefault="0080134E">
            <w:pPr>
              <w:spacing w:line="400" w:lineRule="exact"/>
              <w:jc w:val="center"/>
              <w:rPr>
                <w:b/>
                <w:bCs/>
                <w:color w:val="000000" w:themeColor="text1"/>
                <w:sz w:val="24"/>
              </w:rPr>
            </w:pPr>
            <w:r>
              <w:rPr>
                <w:rFonts w:hint="eastAsia"/>
                <w:b/>
                <w:bCs/>
                <w:color w:val="000000" w:themeColor="text1"/>
                <w:sz w:val="24"/>
              </w:rPr>
              <w:t>妇科常规检查</w:t>
            </w:r>
          </w:p>
        </w:tc>
        <w:tc>
          <w:tcPr>
            <w:tcW w:w="1754" w:type="dxa"/>
            <w:gridSpan w:val="2"/>
            <w:vAlign w:val="center"/>
          </w:tcPr>
          <w:p w14:paraId="1918DF67" w14:textId="77777777" w:rsidR="009967D1" w:rsidRDefault="009967D1">
            <w:pPr>
              <w:spacing w:line="400" w:lineRule="exact"/>
              <w:jc w:val="center"/>
              <w:rPr>
                <w:b/>
                <w:bCs/>
                <w:color w:val="000000" w:themeColor="text1"/>
                <w:sz w:val="24"/>
              </w:rPr>
            </w:pPr>
          </w:p>
        </w:tc>
        <w:tc>
          <w:tcPr>
            <w:tcW w:w="825" w:type="dxa"/>
            <w:gridSpan w:val="2"/>
            <w:vAlign w:val="center"/>
          </w:tcPr>
          <w:p w14:paraId="6A3F31BB" w14:textId="77777777" w:rsidR="009967D1" w:rsidRDefault="009967D1">
            <w:pPr>
              <w:spacing w:line="400" w:lineRule="exact"/>
              <w:jc w:val="center"/>
              <w:rPr>
                <w:b/>
                <w:bCs/>
                <w:color w:val="000000" w:themeColor="text1"/>
                <w:sz w:val="24"/>
              </w:rPr>
            </w:pPr>
          </w:p>
        </w:tc>
        <w:tc>
          <w:tcPr>
            <w:tcW w:w="1980" w:type="dxa"/>
            <w:gridSpan w:val="2"/>
            <w:vAlign w:val="center"/>
          </w:tcPr>
          <w:p w14:paraId="1563BF6F" w14:textId="77777777" w:rsidR="009967D1" w:rsidRDefault="009967D1">
            <w:pPr>
              <w:spacing w:line="400" w:lineRule="exact"/>
              <w:jc w:val="center"/>
              <w:rPr>
                <w:b/>
                <w:bCs/>
                <w:color w:val="000000" w:themeColor="text1"/>
                <w:sz w:val="24"/>
              </w:rPr>
            </w:pPr>
          </w:p>
        </w:tc>
        <w:tc>
          <w:tcPr>
            <w:tcW w:w="1408" w:type="dxa"/>
            <w:gridSpan w:val="2"/>
            <w:vAlign w:val="center"/>
          </w:tcPr>
          <w:p w14:paraId="2EB3B967" w14:textId="77777777" w:rsidR="009967D1" w:rsidRDefault="009967D1">
            <w:pPr>
              <w:spacing w:line="400" w:lineRule="exact"/>
              <w:jc w:val="center"/>
              <w:rPr>
                <w:b/>
                <w:bCs/>
                <w:color w:val="000000" w:themeColor="text1"/>
                <w:sz w:val="24"/>
              </w:rPr>
            </w:pPr>
          </w:p>
        </w:tc>
      </w:tr>
      <w:tr w:rsidR="009967D1" w14:paraId="00FCAE0C" w14:textId="77777777">
        <w:trPr>
          <w:trHeight w:val="1651"/>
          <w:jc w:val="center"/>
        </w:trPr>
        <w:tc>
          <w:tcPr>
            <w:tcW w:w="9653" w:type="dxa"/>
            <w:gridSpan w:val="11"/>
            <w:vAlign w:val="center"/>
          </w:tcPr>
          <w:p w14:paraId="04864DF6" w14:textId="77777777" w:rsidR="009967D1" w:rsidRDefault="009967D1"/>
          <w:p w14:paraId="2F69813A" w14:textId="77777777" w:rsidR="009967D1" w:rsidRDefault="0080134E">
            <w:r>
              <w:rPr>
                <w:b/>
                <w:bCs/>
              </w:rPr>
              <w:t>Clinical significance:</w:t>
            </w:r>
            <w:r>
              <w:t xml:space="preserve"> Includes visual and physical examination of vulva, vagina, cervix, uterus, and adnexa; routine vaginal discharge test (assesses vaginal cleanliness, fungi, trichomonas, bacteria); screens for vulvitis, vaginitis, cervicitis, pelvic inflammatory disease, and cervical lesions (e.g., cervical polyps).</w:t>
            </w:r>
          </w:p>
          <w:p w14:paraId="7D8F6402" w14:textId="77777777" w:rsidR="009967D1" w:rsidRDefault="0080134E">
            <w:r>
              <w:rPr>
                <w:b/>
                <w:bCs/>
              </w:rPr>
              <w:t>临床意义：</w:t>
            </w:r>
            <w:r>
              <w:t>包括外阴、阴道、宫颈、子宫及附件的视诊、触诊，白带常规（检查阴道清洁度、霉菌、滴虫、细菌），筛查外阴炎、阴道炎、宫颈炎、盆腔炎、宫颈病变（如宫颈息肉）。</w:t>
            </w:r>
          </w:p>
        </w:tc>
      </w:tr>
    </w:tbl>
    <w:p w14:paraId="78ADA57F" w14:textId="77777777" w:rsidR="009967D1" w:rsidRDefault="009967D1" w:rsidP="004619DA">
      <w:pPr>
        <w:pStyle w:val="0"/>
      </w:pPr>
    </w:p>
    <w:p w14:paraId="66D89EAC" w14:textId="77777777" w:rsidR="007E7DD7" w:rsidRDefault="007E7DD7" w:rsidP="007E7DD7">
      <w:pPr>
        <w:pStyle w:val="0"/>
      </w:pPr>
    </w:p>
    <w:p w14:paraId="1F4C29D7" w14:textId="77777777" w:rsidR="007E7DD7" w:rsidRDefault="007E7DD7" w:rsidP="007E7DD7">
      <w:pPr>
        <w:pStyle w:val="4-"/>
      </w:pPr>
      <w:r>
        <w:rPr>
          <w:rFonts w:hint="eastAsia"/>
        </w:rPr>
        <w:t>T</w:t>
      </w:r>
      <w:r w:rsidRPr="00B36276">
        <w:t xml:space="preserve">esting </w:t>
      </w:r>
      <w:r>
        <w:rPr>
          <w:rFonts w:hint="eastAsia"/>
        </w:rPr>
        <w:t>R</w:t>
      </w:r>
      <w:r w:rsidRPr="00B36276">
        <w:rPr>
          <w:rFonts w:hint="eastAsia"/>
        </w:rPr>
        <w:t>e</w:t>
      </w:r>
      <w:r w:rsidRPr="00B36276">
        <w:t>sult</w:t>
      </w:r>
      <w:r>
        <w:rPr>
          <w:rFonts w:hint="eastAsia"/>
        </w:rPr>
        <w:t>检测结果</w:t>
      </w:r>
    </w:p>
    <w:p w14:paraId="1AA70CEF" w14:textId="77777777" w:rsidR="007E7DD7" w:rsidRDefault="007E7DD7" w:rsidP="004619DA">
      <w:pPr>
        <w:pStyle w:val="0"/>
      </w:pPr>
    </w:p>
    <w:p w14:paraId="38B3009C" w14:textId="77777777" w:rsidR="009967D1" w:rsidRDefault="009967D1" w:rsidP="004619DA">
      <w:pPr>
        <w:pStyle w:val="0"/>
      </w:pPr>
    </w:p>
    <w:p w14:paraId="115BC9B8" w14:textId="77777777" w:rsidR="007E7DD7" w:rsidRDefault="007E7DD7" w:rsidP="004619DA">
      <w:pPr>
        <w:pStyle w:val="0"/>
      </w:pPr>
    </w:p>
    <w:p w14:paraId="4F800FDB" w14:textId="7EED254A" w:rsidR="007E7DD7" w:rsidRDefault="007E7DD7">
      <w:pPr>
        <w:widowControl/>
        <w:spacing w:line="240" w:lineRule="auto"/>
        <w:jc w:val="left"/>
        <w:rPr>
          <w:rFonts w:ascii="Times New Roman" w:eastAsia="楷体" w:hAnsi="Times New Roman" w:cs="Times New Roman"/>
          <w:sz w:val="24"/>
          <w:szCs w:val="22"/>
        </w:rPr>
      </w:pPr>
      <w:r>
        <w:br w:type="page"/>
      </w:r>
    </w:p>
    <w:p w14:paraId="5ADAC6E6" w14:textId="77777777" w:rsidR="007E7DD7" w:rsidRDefault="007E7DD7" w:rsidP="007E7DD7"/>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7"/>
        <w:gridCol w:w="386"/>
        <w:gridCol w:w="1953"/>
        <w:gridCol w:w="1600"/>
        <w:gridCol w:w="49"/>
        <w:gridCol w:w="796"/>
        <w:gridCol w:w="27"/>
        <w:gridCol w:w="642"/>
        <w:gridCol w:w="1192"/>
        <w:gridCol w:w="634"/>
        <w:gridCol w:w="687"/>
      </w:tblGrid>
      <w:tr w:rsidR="007E7DD7" w14:paraId="25D2384C" w14:textId="77777777" w:rsidTr="007E7DD7">
        <w:trPr>
          <w:trHeight w:val="839"/>
          <w:jc w:val="center"/>
        </w:trPr>
        <w:tc>
          <w:tcPr>
            <w:tcW w:w="1687" w:type="dxa"/>
            <w:tcBorders>
              <w:top w:val="single" w:sz="4" w:space="0" w:color="auto"/>
              <w:bottom w:val="single" w:sz="4" w:space="0" w:color="auto"/>
            </w:tcBorders>
            <w:vAlign w:val="center"/>
          </w:tcPr>
          <w:p w14:paraId="160D5640" w14:textId="77777777" w:rsidR="007E7DD7" w:rsidRDefault="007E7DD7" w:rsidP="005971A0">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339" w:type="dxa"/>
            <w:gridSpan w:val="2"/>
            <w:tcBorders>
              <w:top w:val="single" w:sz="4" w:space="0" w:color="auto"/>
              <w:bottom w:val="single" w:sz="4" w:space="0" w:color="auto"/>
            </w:tcBorders>
            <w:vAlign w:val="center"/>
          </w:tcPr>
          <w:p w14:paraId="18B28FEC" w14:textId="77777777" w:rsidR="007E7DD7" w:rsidRDefault="007E7DD7" w:rsidP="005971A0">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649" w:type="dxa"/>
            <w:gridSpan w:val="2"/>
            <w:tcBorders>
              <w:top w:val="single" w:sz="4" w:space="0" w:color="auto"/>
              <w:bottom w:val="single" w:sz="4" w:space="0" w:color="auto"/>
            </w:tcBorders>
            <w:vAlign w:val="center"/>
          </w:tcPr>
          <w:p w14:paraId="15480CD4" w14:textId="77777777" w:rsidR="007E7DD7" w:rsidRDefault="007E7DD7" w:rsidP="005971A0">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3" w:type="dxa"/>
            <w:gridSpan w:val="2"/>
            <w:tcBorders>
              <w:top w:val="single" w:sz="4" w:space="0" w:color="auto"/>
              <w:bottom w:val="single" w:sz="4" w:space="0" w:color="auto"/>
            </w:tcBorders>
            <w:vAlign w:val="center"/>
          </w:tcPr>
          <w:p w14:paraId="0820EE6C" w14:textId="77777777" w:rsidR="007E7DD7" w:rsidRDefault="007E7DD7" w:rsidP="005971A0">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834" w:type="dxa"/>
            <w:gridSpan w:val="2"/>
            <w:tcBorders>
              <w:top w:val="single" w:sz="4" w:space="0" w:color="auto"/>
              <w:bottom w:val="single" w:sz="4" w:space="0" w:color="auto"/>
            </w:tcBorders>
            <w:vAlign w:val="center"/>
          </w:tcPr>
          <w:p w14:paraId="72674AB2" w14:textId="77777777" w:rsidR="007E7DD7" w:rsidRDefault="007E7DD7" w:rsidP="005971A0">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321" w:type="dxa"/>
            <w:gridSpan w:val="2"/>
            <w:tcBorders>
              <w:top w:val="single" w:sz="4" w:space="0" w:color="auto"/>
              <w:bottom w:val="single" w:sz="4" w:space="0" w:color="auto"/>
            </w:tcBorders>
            <w:vAlign w:val="center"/>
          </w:tcPr>
          <w:p w14:paraId="7FA987F8" w14:textId="77777777" w:rsidR="007E7DD7" w:rsidRDefault="007E7DD7" w:rsidP="005971A0">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7E7DD7" w14:paraId="3CC29816" w14:textId="77777777" w:rsidTr="005971A0">
        <w:trPr>
          <w:trHeight w:val="1111"/>
          <w:jc w:val="center"/>
        </w:trPr>
        <w:tc>
          <w:tcPr>
            <w:tcW w:w="9653" w:type="dxa"/>
            <w:gridSpan w:val="11"/>
            <w:tcBorders>
              <w:top w:val="single" w:sz="4" w:space="0" w:color="auto"/>
              <w:bottom w:val="single" w:sz="4" w:space="0" w:color="auto"/>
            </w:tcBorders>
            <w:vAlign w:val="center"/>
          </w:tcPr>
          <w:p w14:paraId="0CC67130" w14:textId="77777777" w:rsidR="007E7DD7" w:rsidRDefault="007E7DD7" w:rsidP="005971A0">
            <w:pPr>
              <w:spacing w:line="400" w:lineRule="exact"/>
              <w:jc w:val="center"/>
              <w:rPr>
                <w:b/>
                <w:bCs/>
                <w:color w:val="323E4F" w:themeColor="text2" w:themeShade="BF"/>
                <w:sz w:val="32"/>
                <w:szCs w:val="32"/>
              </w:rPr>
            </w:pPr>
            <w:r>
              <w:rPr>
                <w:rFonts w:hint="eastAsia"/>
                <w:b/>
                <w:bCs/>
                <w:color w:val="323E4F" w:themeColor="text2" w:themeShade="BF"/>
                <w:sz w:val="32"/>
                <w:szCs w:val="32"/>
              </w:rPr>
              <w:t>Female-specific</w:t>
            </w:r>
          </w:p>
          <w:p w14:paraId="33F0ED0B" w14:textId="77777777" w:rsidR="007E7DD7" w:rsidRDefault="007E7DD7" w:rsidP="005971A0">
            <w:pPr>
              <w:spacing w:line="400" w:lineRule="exact"/>
              <w:jc w:val="center"/>
              <w:rPr>
                <w:color w:val="323E4F" w:themeColor="text2" w:themeShade="BF"/>
                <w:sz w:val="32"/>
                <w:szCs w:val="32"/>
              </w:rPr>
            </w:pPr>
            <w:r>
              <w:rPr>
                <w:rFonts w:hint="eastAsia"/>
                <w:b/>
                <w:bCs/>
                <w:color w:val="323E4F" w:themeColor="text2" w:themeShade="BF"/>
                <w:sz w:val="32"/>
                <w:szCs w:val="32"/>
              </w:rPr>
              <w:t>女性专项</w:t>
            </w:r>
          </w:p>
        </w:tc>
      </w:tr>
      <w:tr w:rsidR="007E7DD7" w14:paraId="13BA69A0" w14:textId="77777777" w:rsidTr="007E7DD7">
        <w:trPr>
          <w:trHeight w:hRule="exact" w:val="113"/>
          <w:jc w:val="center"/>
        </w:trPr>
        <w:tc>
          <w:tcPr>
            <w:tcW w:w="2073" w:type="dxa"/>
            <w:gridSpan w:val="2"/>
            <w:tcBorders>
              <w:top w:val="single" w:sz="4" w:space="0" w:color="auto"/>
            </w:tcBorders>
            <w:vAlign w:val="center"/>
          </w:tcPr>
          <w:p w14:paraId="10515CB6" w14:textId="77777777" w:rsidR="007E7DD7" w:rsidRDefault="007E7DD7" w:rsidP="005971A0">
            <w:pPr>
              <w:spacing w:line="300" w:lineRule="exact"/>
              <w:jc w:val="left"/>
              <w:rPr>
                <w:color w:val="323E4F" w:themeColor="text2" w:themeShade="BF"/>
                <w:sz w:val="2"/>
                <w:szCs w:val="2"/>
              </w:rPr>
            </w:pPr>
          </w:p>
        </w:tc>
        <w:tc>
          <w:tcPr>
            <w:tcW w:w="3553" w:type="dxa"/>
            <w:gridSpan w:val="2"/>
            <w:tcBorders>
              <w:top w:val="single" w:sz="4" w:space="0" w:color="auto"/>
            </w:tcBorders>
            <w:vAlign w:val="center"/>
          </w:tcPr>
          <w:p w14:paraId="1C5E67FE" w14:textId="77777777" w:rsidR="007E7DD7" w:rsidRDefault="007E7DD7" w:rsidP="005971A0">
            <w:pPr>
              <w:spacing w:line="300" w:lineRule="exact"/>
              <w:jc w:val="center"/>
              <w:rPr>
                <w:color w:val="323E4F" w:themeColor="text2" w:themeShade="BF"/>
                <w:sz w:val="2"/>
                <w:szCs w:val="2"/>
              </w:rPr>
            </w:pPr>
          </w:p>
        </w:tc>
        <w:tc>
          <w:tcPr>
            <w:tcW w:w="845" w:type="dxa"/>
            <w:gridSpan w:val="2"/>
            <w:tcBorders>
              <w:top w:val="single" w:sz="4" w:space="0" w:color="auto"/>
            </w:tcBorders>
            <w:vAlign w:val="center"/>
          </w:tcPr>
          <w:p w14:paraId="6CC845C0" w14:textId="77777777" w:rsidR="007E7DD7" w:rsidRDefault="007E7DD7" w:rsidP="005971A0">
            <w:pPr>
              <w:spacing w:line="300" w:lineRule="exact"/>
              <w:jc w:val="center"/>
              <w:rPr>
                <w:color w:val="323E4F" w:themeColor="text2" w:themeShade="BF"/>
                <w:sz w:val="2"/>
                <w:szCs w:val="2"/>
              </w:rPr>
            </w:pPr>
          </w:p>
        </w:tc>
        <w:tc>
          <w:tcPr>
            <w:tcW w:w="669" w:type="dxa"/>
            <w:gridSpan w:val="2"/>
            <w:tcBorders>
              <w:top w:val="single" w:sz="4" w:space="0" w:color="auto"/>
            </w:tcBorders>
            <w:vAlign w:val="center"/>
          </w:tcPr>
          <w:p w14:paraId="5A28C5B8" w14:textId="77777777" w:rsidR="007E7DD7" w:rsidRDefault="007E7DD7" w:rsidP="005971A0">
            <w:pPr>
              <w:spacing w:line="300" w:lineRule="exact"/>
              <w:jc w:val="center"/>
              <w:rPr>
                <w:color w:val="323E4F" w:themeColor="text2" w:themeShade="BF"/>
                <w:sz w:val="2"/>
                <w:szCs w:val="2"/>
              </w:rPr>
            </w:pPr>
          </w:p>
        </w:tc>
        <w:tc>
          <w:tcPr>
            <w:tcW w:w="1826" w:type="dxa"/>
            <w:gridSpan w:val="2"/>
            <w:tcBorders>
              <w:top w:val="single" w:sz="4" w:space="0" w:color="auto"/>
            </w:tcBorders>
            <w:vAlign w:val="center"/>
          </w:tcPr>
          <w:p w14:paraId="6935FE21" w14:textId="77777777" w:rsidR="007E7DD7" w:rsidRDefault="007E7DD7" w:rsidP="005971A0">
            <w:pPr>
              <w:spacing w:line="300" w:lineRule="exact"/>
              <w:jc w:val="left"/>
              <w:rPr>
                <w:color w:val="323E4F" w:themeColor="text2" w:themeShade="BF"/>
                <w:sz w:val="2"/>
                <w:szCs w:val="2"/>
              </w:rPr>
            </w:pPr>
          </w:p>
        </w:tc>
        <w:tc>
          <w:tcPr>
            <w:tcW w:w="687" w:type="dxa"/>
            <w:tcBorders>
              <w:top w:val="single" w:sz="4" w:space="0" w:color="auto"/>
            </w:tcBorders>
            <w:vAlign w:val="center"/>
          </w:tcPr>
          <w:p w14:paraId="57633378" w14:textId="77777777" w:rsidR="007E7DD7" w:rsidRDefault="007E7DD7" w:rsidP="005971A0">
            <w:pPr>
              <w:spacing w:line="300" w:lineRule="exact"/>
              <w:jc w:val="right"/>
              <w:rPr>
                <w:color w:val="323E4F" w:themeColor="text2" w:themeShade="BF"/>
                <w:sz w:val="2"/>
                <w:szCs w:val="2"/>
              </w:rPr>
            </w:pPr>
          </w:p>
        </w:tc>
      </w:tr>
      <w:tr w:rsidR="007E7DD7" w14:paraId="1AAA9D38" w14:textId="77777777" w:rsidTr="007E7DD7">
        <w:trPr>
          <w:trHeight w:val="432"/>
          <w:jc w:val="center"/>
        </w:trPr>
        <w:tc>
          <w:tcPr>
            <w:tcW w:w="1687" w:type="dxa"/>
            <w:vAlign w:val="center"/>
          </w:tcPr>
          <w:p w14:paraId="7172C93B" w14:textId="380C8580" w:rsidR="007E7DD7" w:rsidRDefault="007E7DD7" w:rsidP="007E7DD7">
            <w:pPr>
              <w:spacing w:line="400" w:lineRule="exact"/>
              <w:jc w:val="center"/>
              <w:rPr>
                <w:b/>
                <w:bCs/>
                <w:color w:val="000000" w:themeColor="text1"/>
                <w:sz w:val="24"/>
              </w:rPr>
            </w:pPr>
            <w:r>
              <w:rPr>
                <w:rFonts w:hint="eastAsia"/>
                <w:b/>
                <w:bCs/>
                <w:color w:val="000000" w:themeColor="text1"/>
                <w:sz w:val="24"/>
              </w:rPr>
              <w:t>Gynecological special examination</w:t>
            </w:r>
          </w:p>
        </w:tc>
        <w:tc>
          <w:tcPr>
            <w:tcW w:w="2339" w:type="dxa"/>
            <w:gridSpan w:val="2"/>
            <w:vAlign w:val="center"/>
          </w:tcPr>
          <w:p w14:paraId="5B9EDFC8" w14:textId="32178E99" w:rsidR="007E7DD7" w:rsidRDefault="007E7DD7" w:rsidP="007E7DD7">
            <w:pPr>
              <w:spacing w:line="400" w:lineRule="exact"/>
              <w:jc w:val="center"/>
              <w:rPr>
                <w:b/>
                <w:bCs/>
                <w:color w:val="000000" w:themeColor="text1"/>
                <w:sz w:val="24"/>
              </w:rPr>
            </w:pPr>
            <w:r>
              <w:rPr>
                <w:rFonts w:hint="eastAsia"/>
                <w:b/>
                <w:bCs/>
                <w:color w:val="000000" w:themeColor="text1"/>
                <w:sz w:val="24"/>
              </w:rPr>
              <w:t>妇科专项检查</w:t>
            </w:r>
          </w:p>
        </w:tc>
        <w:tc>
          <w:tcPr>
            <w:tcW w:w="1649" w:type="dxa"/>
            <w:gridSpan w:val="2"/>
            <w:vAlign w:val="center"/>
          </w:tcPr>
          <w:p w14:paraId="78FBE587" w14:textId="77777777" w:rsidR="007E7DD7" w:rsidRDefault="007E7DD7" w:rsidP="007E7DD7">
            <w:pPr>
              <w:spacing w:line="400" w:lineRule="exact"/>
              <w:jc w:val="center"/>
              <w:rPr>
                <w:b/>
                <w:bCs/>
                <w:color w:val="000000" w:themeColor="text1"/>
                <w:sz w:val="24"/>
              </w:rPr>
            </w:pPr>
          </w:p>
        </w:tc>
        <w:tc>
          <w:tcPr>
            <w:tcW w:w="823" w:type="dxa"/>
            <w:gridSpan w:val="2"/>
            <w:vAlign w:val="center"/>
          </w:tcPr>
          <w:p w14:paraId="72A15F21" w14:textId="77777777" w:rsidR="007E7DD7" w:rsidRDefault="007E7DD7" w:rsidP="007E7DD7">
            <w:pPr>
              <w:spacing w:line="400" w:lineRule="exact"/>
              <w:jc w:val="center"/>
              <w:rPr>
                <w:b/>
                <w:bCs/>
                <w:color w:val="000000" w:themeColor="text1"/>
                <w:sz w:val="24"/>
              </w:rPr>
            </w:pPr>
          </w:p>
        </w:tc>
        <w:tc>
          <w:tcPr>
            <w:tcW w:w="1834" w:type="dxa"/>
            <w:gridSpan w:val="2"/>
            <w:vAlign w:val="center"/>
          </w:tcPr>
          <w:p w14:paraId="33CB7531" w14:textId="77777777" w:rsidR="007E7DD7" w:rsidRDefault="007E7DD7" w:rsidP="007E7DD7">
            <w:pPr>
              <w:spacing w:line="400" w:lineRule="exact"/>
              <w:jc w:val="center"/>
              <w:rPr>
                <w:b/>
                <w:bCs/>
                <w:color w:val="000000" w:themeColor="text1"/>
                <w:sz w:val="24"/>
              </w:rPr>
            </w:pPr>
          </w:p>
        </w:tc>
        <w:tc>
          <w:tcPr>
            <w:tcW w:w="1321" w:type="dxa"/>
            <w:gridSpan w:val="2"/>
            <w:vAlign w:val="center"/>
          </w:tcPr>
          <w:p w14:paraId="1F5BAA8D" w14:textId="77777777" w:rsidR="007E7DD7" w:rsidRDefault="007E7DD7" w:rsidP="007E7DD7">
            <w:pPr>
              <w:spacing w:line="400" w:lineRule="exact"/>
              <w:jc w:val="center"/>
              <w:rPr>
                <w:b/>
                <w:bCs/>
                <w:color w:val="000000" w:themeColor="text1"/>
                <w:sz w:val="24"/>
              </w:rPr>
            </w:pPr>
          </w:p>
        </w:tc>
      </w:tr>
      <w:tr w:rsidR="007E7DD7" w14:paraId="40C48CF0" w14:textId="77777777" w:rsidTr="005971A0">
        <w:trPr>
          <w:trHeight w:val="1651"/>
          <w:jc w:val="center"/>
        </w:trPr>
        <w:tc>
          <w:tcPr>
            <w:tcW w:w="9653" w:type="dxa"/>
            <w:gridSpan w:val="11"/>
            <w:vAlign w:val="center"/>
          </w:tcPr>
          <w:p w14:paraId="1E5E3773" w14:textId="77777777" w:rsidR="007E7DD7" w:rsidRDefault="007E7DD7" w:rsidP="005971A0"/>
          <w:p w14:paraId="4CA702EB" w14:textId="77777777" w:rsidR="007E7DD7" w:rsidRDefault="007E7DD7" w:rsidP="007E7DD7">
            <w:r>
              <w:rPr>
                <w:b/>
                <w:bCs/>
              </w:rPr>
              <w:t>Clinical significance:</w:t>
            </w:r>
            <w:r>
              <w:t xml:space="preserve"> Includes cervical cytology (TCT), human papillomavirus testing (HPV), mammography (for breast), gynecological tumor markers (e.g., CA125), hysteroscopy/laparoscopy; used for advanced screening of gynecological tumors, precancerous lesions, endocrine disorders.</w:t>
            </w:r>
          </w:p>
          <w:p w14:paraId="59B646BC" w14:textId="1ABF44DB" w:rsidR="007E7DD7" w:rsidRDefault="007E7DD7" w:rsidP="007E7DD7">
            <w:r>
              <w:rPr>
                <w:b/>
                <w:bCs/>
              </w:rPr>
              <w:t>临床意义：</w:t>
            </w:r>
            <w:r>
              <w:t>包括宫颈细胞学检查（TCT）、人乳头瘤病毒检测（HPV）、乳腺钼靶（针对乳腺）、妇科肿瘤标志物（如CA125）、宫腔镜/腹腔镜检查等，用于深度筛查妇科肿瘤、癌前病变、内分泌疾病。</w:t>
            </w:r>
          </w:p>
        </w:tc>
      </w:tr>
    </w:tbl>
    <w:p w14:paraId="4F5FA994" w14:textId="77777777" w:rsidR="007E7DD7" w:rsidRDefault="007E7DD7" w:rsidP="007E7DD7">
      <w:pPr>
        <w:pStyle w:val="0"/>
      </w:pPr>
    </w:p>
    <w:p w14:paraId="23F97D2A" w14:textId="77777777" w:rsidR="007E7DD7" w:rsidRDefault="007E7DD7" w:rsidP="007E7DD7">
      <w:pPr>
        <w:pStyle w:val="0"/>
      </w:pPr>
    </w:p>
    <w:p w14:paraId="35438B67" w14:textId="77777777" w:rsidR="007E7DD7" w:rsidRDefault="007E7DD7" w:rsidP="007E7DD7">
      <w:pPr>
        <w:pStyle w:val="4-"/>
      </w:pPr>
      <w:r>
        <w:rPr>
          <w:rFonts w:hint="eastAsia"/>
        </w:rPr>
        <w:t>T</w:t>
      </w:r>
      <w:r w:rsidRPr="00B36276">
        <w:t xml:space="preserve">esting </w:t>
      </w:r>
      <w:r>
        <w:rPr>
          <w:rFonts w:hint="eastAsia"/>
        </w:rPr>
        <w:t>R</w:t>
      </w:r>
      <w:r w:rsidRPr="00B36276">
        <w:rPr>
          <w:rFonts w:hint="eastAsia"/>
        </w:rPr>
        <w:t>e</w:t>
      </w:r>
      <w:r w:rsidRPr="00B36276">
        <w:t>sult</w:t>
      </w:r>
      <w:r>
        <w:rPr>
          <w:rFonts w:hint="eastAsia"/>
        </w:rPr>
        <w:t>检测结果</w:t>
      </w:r>
    </w:p>
    <w:p w14:paraId="7B47AB68" w14:textId="77777777" w:rsidR="007E7DD7" w:rsidRDefault="007E7DD7" w:rsidP="007E7DD7">
      <w:pPr>
        <w:pStyle w:val="0"/>
      </w:pPr>
    </w:p>
    <w:p w14:paraId="0787AF71" w14:textId="77777777" w:rsidR="007E7DD7" w:rsidRDefault="007E7DD7" w:rsidP="007E7DD7">
      <w:pPr>
        <w:pStyle w:val="0"/>
      </w:pPr>
    </w:p>
    <w:p w14:paraId="29EFA50A" w14:textId="77777777" w:rsidR="009967D1" w:rsidRDefault="009967D1" w:rsidP="004619DA">
      <w:pPr>
        <w:pStyle w:val="0"/>
      </w:pPr>
    </w:p>
    <w:p w14:paraId="4C594364" w14:textId="177B3809" w:rsidR="00C0663D" w:rsidRDefault="00C0663D">
      <w:pPr>
        <w:widowControl/>
        <w:spacing w:line="240" w:lineRule="auto"/>
        <w:jc w:val="left"/>
        <w:rPr>
          <w:rFonts w:ascii="Times New Roman" w:eastAsia="楷体" w:hAnsi="Times New Roman" w:cs="Times New Roman"/>
          <w:sz w:val="24"/>
          <w:szCs w:val="22"/>
        </w:rPr>
      </w:pPr>
      <w:r>
        <w:br w:type="page"/>
      </w:r>
    </w:p>
    <w:p w14:paraId="6D21698A" w14:textId="6CF09387" w:rsidR="00C0663D" w:rsidRDefault="00C0663D" w:rsidP="00C0663D">
      <w:pPr>
        <w:pStyle w:val="3-"/>
      </w:pPr>
      <w:r>
        <w:rPr>
          <w:rFonts w:hint="eastAsia"/>
        </w:rPr>
        <w:lastRenderedPageBreak/>
        <w:t>A</w:t>
      </w:r>
      <w:r w:rsidRPr="00C0663D">
        <w:t>ppendix</w:t>
      </w:r>
      <w:r>
        <w:br/>
      </w:r>
      <w:r>
        <w:rPr>
          <w:rFonts w:hint="eastAsia"/>
        </w:rPr>
        <w:t>附录</w:t>
      </w:r>
    </w:p>
    <w:sectPr w:rsidR="00C0663D">
      <w:pgSz w:w="11901" w:h="16817"/>
      <w:pgMar w:top="1418" w:right="1134" w:bottom="1021" w:left="119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43E6E" w14:textId="77777777" w:rsidR="009967D1" w:rsidRDefault="0080134E">
      <w:pPr>
        <w:spacing w:line="240" w:lineRule="auto"/>
      </w:pPr>
      <w:r>
        <w:separator/>
      </w:r>
    </w:p>
  </w:endnote>
  <w:endnote w:type="continuationSeparator" w:id="0">
    <w:p w14:paraId="102985E5" w14:textId="77777777" w:rsidR="009967D1" w:rsidRDefault="008013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华文楷体">
    <w:altName w:val="STKaiti"/>
    <w:panose1 w:val="02010600040101010101"/>
    <w:charset w:val="86"/>
    <w:family w:val="auto"/>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D4029" w14:textId="0F1A26F2" w:rsidR="007D1F2B" w:rsidRDefault="007D1F2B">
    <w:pPr>
      <w:pStyle w:val="a9"/>
    </w:pPr>
    <w:r>
      <w:rPr>
        <w:noProof/>
      </w:rPr>
      <w:drawing>
        <wp:anchor distT="0" distB="0" distL="114300" distR="114300" simplePos="0" relativeHeight="251658240" behindDoc="0" locked="0" layoutInCell="1" allowOverlap="1" wp14:anchorId="3FAA1564" wp14:editId="2F7A0C84">
          <wp:simplePos x="0" y="0"/>
          <wp:positionH relativeFrom="column">
            <wp:posOffset>2437961</wp:posOffset>
          </wp:positionH>
          <wp:positionV relativeFrom="paragraph">
            <wp:posOffset>276225</wp:posOffset>
          </wp:positionV>
          <wp:extent cx="1172060" cy="232469"/>
          <wp:effectExtent l="0" t="0" r="0" b="0"/>
          <wp:wrapNone/>
          <wp:docPr id="13370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087592" name="图片 1782087592"/>
                  <pic:cNvPicPr/>
                </pic:nvPicPr>
                <pic:blipFill>
                  <a:blip r:embed="rId1">
                    <a:extLst>
                      <a:ext uri="{28A0092B-C50C-407E-A947-70E740481C1C}">
                        <a14:useLocalDpi xmlns:a14="http://schemas.microsoft.com/office/drawing/2010/main" val="0"/>
                      </a:ext>
                    </a:extLst>
                  </a:blip>
                  <a:stretch>
                    <a:fillRect/>
                  </a:stretch>
                </pic:blipFill>
                <pic:spPr>
                  <a:xfrm>
                    <a:off x="0" y="0"/>
                    <a:ext cx="1172060" cy="232469"/>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3DDF9" w14:textId="77777777" w:rsidR="009967D1" w:rsidRDefault="0080134E">
      <w:pPr>
        <w:spacing w:line="240" w:lineRule="auto"/>
      </w:pPr>
      <w:r>
        <w:separator/>
      </w:r>
    </w:p>
  </w:footnote>
  <w:footnote w:type="continuationSeparator" w:id="0">
    <w:p w14:paraId="05DF48E8" w14:textId="77777777" w:rsidR="009967D1" w:rsidRDefault="0080134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7"/>
      </w:rPr>
      <w:id w:val="-493497296"/>
      <w:docPartObj>
        <w:docPartGallery w:val="Page Numbers (Top of Page)"/>
        <w:docPartUnique/>
      </w:docPartObj>
    </w:sdtPr>
    <w:sdtEndPr>
      <w:rPr>
        <w:rStyle w:val="af7"/>
      </w:rPr>
    </w:sdtEndPr>
    <w:sdtContent>
      <w:p w14:paraId="0C0AA311" w14:textId="1FA66BBD" w:rsidR="007D1F2B" w:rsidRDefault="007D1F2B" w:rsidP="00C826CB">
        <w:pPr>
          <w:pStyle w:val="ab"/>
          <w:framePr w:wrap="none" w:vAnchor="text" w:hAnchor="margin" w:xAlign="right" w:y="1"/>
          <w:rPr>
            <w:rStyle w:val="af7"/>
          </w:rPr>
        </w:pPr>
        <w:r>
          <w:rPr>
            <w:rStyle w:val="af7"/>
          </w:rPr>
          <w:fldChar w:fldCharType="begin"/>
        </w:r>
        <w:r>
          <w:rPr>
            <w:rStyle w:val="af7"/>
          </w:rPr>
          <w:instrText xml:space="preserve"> PAGE </w:instrText>
        </w:r>
        <w:r>
          <w:rPr>
            <w:rStyle w:val="af7"/>
          </w:rPr>
          <w:fldChar w:fldCharType="separate"/>
        </w:r>
        <w:r>
          <w:rPr>
            <w:rStyle w:val="af7"/>
          </w:rPr>
          <w:fldChar w:fldCharType="end"/>
        </w:r>
      </w:p>
    </w:sdtContent>
  </w:sdt>
  <w:p w14:paraId="2D138A80" w14:textId="77777777" w:rsidR="007D1F2B" w:rsidRDefault="007D1F2B" w:rsidP="007D1F2B">
    <w:pPr>
      <w:pStyle w:val="ab"/>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7"/>
      </w:rPr>
      <w:id w:val="438028781"/>
      <w:docPartObj>
        <w:docPartGallery w:val="Page Numbers (Top of Page)"/>
        <w:docPartUnique/>
      </w:docPartObj>
    </w:sdtPr>
    <w:sdtEndPr>
      <w:rPr>
        <w:rStyle w:val="af7"/>
      </w:rPr>
    </w:sdtEndPr>
    <w:sdtContent>
      <w:p w14:paraId="68072955" w14:textId="730BC219" w:rsidR="007D1F2B" w:rsidRDefault="007D1F2B" w:rsidP="005D6C46">
        <w:pPr>
          <w:pStyle w:val="ab"/>
          <w:framePr w:wrap="none" w:vAnchor="text" w:hAnchor="page" w:x="10590" w:y="5"/>
          <w:rPr>
            <w:rStyle w:val="af7"/>
          </w:rPr>
        </w:pPr>
        <w:r>
          <w:rPr>
            <w:rStyle w:val="af7"/>
          </w:rPr>
          <w:fldChar w:fldCharType="begin"/>
        </w:r>
        <w:r>
          <w:rPr>
            <w:rStyle w:val="af7"/>
          </w:rPr>
          <w:instrText xml:space="preserve"> PAGE </w:instrText>
        </w:r>
        <w:r>
          <w:rPr>
            <w:rStyle w:val="af7"/>
          </w:rPr>
          <w:fldChar w:fldCharType="separate"/>
        </w:r>
        <w:r>
          <w:rPr>
            <w:rStyle w:val="af7"/>
            <w:noProof/>
          </w:rPr>
          <w:t>1</w:t>
        </w:r>
        <w:r>
          <w:rPr>
            <w:rStyle w:val="af7"/>
          </w:rPr>
          <w:fldChar w:fldCharType="end"/>
        </w:r>
      </w:p>
    </w:sdtContent>
  </w:sdt>
  <w:p w14:paraId="7A632899" w14:textId="77777777" w:rsidR="007D1F2B" w:rsidRDefault="007D1F2B" w:rsidP="007D1F2B">
    <w:pPr>
      <w:pStyle w:val="ab"/>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D2AB9"/>
    <w:multiLevelType w:val="hybridMultilevel"/>
    <w:tmpl w:val="B58A1092"/>
    <w:lvl w:ilvl="0" w:tplc="04090003">
      <w:start w:val="1"/>
      <w:numFmt w:val="bullet"/>
      <w:lvlText w:val=""/>
      <w:lvlJc w:val="left"/>
      <w:pPr>
        <w:ind w:left="860" w:hanging="440"/>
      </w:pPr>
      <w:rPr>
        <w:rFonts w:ascii="Wingdings" w:hAnsi="Wingdings" w:hint="default"/>
      </w:rPr>
    </w:lvl>
    <w:lvl w:ilvl="1" w:tplc="FFFFFFFF" w:tentative="1">
      <w:start w:val="1"/>
      <w:numFmt w:val="bullet"/>
      <w:lvlText w:val=""/>
      <w:lvlJc w:val="left"/>
      <w:pPr>
        <w:ind w:left="1300" w:hanging="440"/>
      </w:pPr>
      <w:rPr>
        <w:rFonts w:ascii="Wingdings" w:hAnsi="Wingdings" w:hint="default"/>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1" w15:restartNumberingAfterBreak="0">
    <w:nsid w:val="14C62BE1"/>
    <w:multiLevelType w:val="hybridMultilevel"/>
    <w:tmpl w:val="3DAEBF48"/>
    <w:lvl w:ilvl="0" w:tplc="04090003">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 w15:restartNumberingAfterBreak="0">
    <w:nsid w:val="42BC786C"/>
    <w:multiLevelType w:val="hybridMultilevel"/>
    <w:tmpl w:val="50DC8C94"/>
    <w:lvl w:ilvl="0" w:tplc="04090003">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3" w15:restartNumberingAfterBreak="0">
    <w:nsid w:val="751E43D0"/>
    <w:multiLevelType w:val="hybridMultilevel"/>
    <w:tmpl w:val="ADD40F68"/>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977223961">
    <w:abstractNumId w:val="3"/>
  </w:num>
  <w:num w:numId="2" w16cid:durableId="725228807">
    <w:abstractNumId w:val="0"/>
  </w:num>
  <w:num w:numId="3" w16cid:durableId="1603680551">
    <w:abstractNumId w:val="2"/>
  </w:num>
  <w:num w:numId="4" w16cid:durableId="4322836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E25"/>
    <w:rsid w:val="000005FC"/>
    <w:rsid w:val="00006927"/>
    <w:rsid w:val="000113A5"/>
    <w:rsid w:val="00017855"/>
    <w:rsid w:val="000204CB"/>
    <w:rsid w:val="0002183F"/>
    <w:rsid w:val="00021ED0"/>
    <w:rsid w:val="0002692B"/>
    <w:rsid w:val="00027CC6"/>
    <w:rsid w:val="0003252F"/>
    <w:rsid w:val="00045874"/>
    <w:rsid w:val="000469CF"/>
    <w:rsid w:val="0004705E"/>
    <w:rsid w:val="0005007A"/>
    <w:rsid w:val="00050A37"/>
    <w:rsid w:val="000602DC"/>
    <w:rsid w:val="00062EC4"/>
    <w:rsid w:val="00071355"/>
    <w:rsid w:val="00072355"/>
    <w:rsid w:val="00075BC0"/>
    <w:rsid w:val="00076E6C"/>
    <w:rsid w:val="0008554E"/>
    <w:rsid w:val="00095238"/>
    <w:rsid w:val="00095D03"/>
    <w:rsid w:val="00096C38"/>
    <w:rsid w:val="000A3331"/>
    <w:rsid w:val="000A3D0E"/>
    <w:rsid w:val="000C2264"/>
    <w:rsid w:val="000C4D01"/>
    <w:rsid w:val="000D1914"/>
    <w:rsid w:val="000D6E9F"/>
    <w:rsid w:val="000D7FA7"/>
    <w:rsid w:val="000F0AFF"/>
    <w:rsid w:val="000F0DE4"/>
    <w:rsid w:val="000F1DC0"/>
    <w:rsid w:val="000F3860"/>
    <w:rsid w:val="000F5890"/>
    <w:rsid w:val="000F7B14"/>
    <w:rsid w:val="00104667"/>
    <w:rsid w:val="0010662E"/>
    <w:rsid w:val="00107D4C"/>
    <w:rsid w:val="0011712E"/>
    <w:rsid w:val="00123000"/>
    <w:rsid w:val="00124173"/>
    <w:rsid w:val="00124A9C"/>
    <w:rsid w:val="001304BB"/>
    <w:rsid w:val="001331CC"/>
    <w:rsid w:val="00136B3F"/>
    <w:rsid w:val="00136D52"/>
    <w:rsid w:val="001446D2"/>
    <w:rsid w:val="00144F1B"/>
    <w:rsid w:val="00146CA1"/>
    <w:rsid w:val="00147C68"/>
    <w:rsid w:val="00155E84"/>
    <w:rsid w:val="0015637C"/>
    <w:rsid w:val="001620F9"/>
    <w:rsid w:val="00162BDA"/>
    <w:rsid w:val="00165D45"/>
    <w:rsid w:val="00173B58"/>
    <w:rsid w:val="00175034"/>
    <w:rsid w:val="00175707"/>
    <w:rsid w:val="001838AF"/>
    <w:rsid w:val="0018439C"/>
    <w:rsid w:val="001854D5"/>
    <w:rsid w:val="00194E09"/>
    <w:rsid w:val="001955C8"/>
    <w:rsid w:val="00196232"/>
    <w:rsid w:val="001A02D3"/>
    <w:rsid w:val="001A675D"/>
    <w:rsid w:val="001A70A2"/>
    <w:rsid w:val="001B751B"/>
    <w:rsid w:val="001D1011"/>
    <w:rsid w:val="001D3787"/>
    <w:rsid w:val="001D5234"/>
    <w:rsid w:val="001E48FF"/>
    <w:rsid w:val="001F2D6B"/>
    <w:rsid w:val="001F4227"/>
    <w:rsid w:val="001F64D3"/>
    <w:rsid w:val="001F654D"/>
    <w:rsid w:val="001F7096"/>
    <w:rsid w:val="00202055"/>
    <w:rsid w:val="00202808"/>
    <w:rsid w:val="002040D4"/>
    <w:rsid w:val="00204F0B"/>
    <w:rsid w:val="00206436"/>
    <w:rsid w:val="0020702E"/>
    <w:rsid w:val="0022530B"/>
    <w:rsid w:val="002320FE"/>
    <w:rsid w:val="00237870"/>
    <w:rsid w:val="00237F08"/>
    <w:rsid w:val="00242D5C"/>
    <w:rsid w:val="002434DD"/>
    <w:rsid w:val="0024374F"/>
    <w:rsid w:val="002469DC"/>
    <w:rsid w:val="002525B8"/>
    <w:rsid w:val="0025324B"/>
    <w:rsid w:val="00254640"/>
    <w:rsid w:val="00264B1D"/>
    <w:rsid w:val="00272239"/>
    <w:rsid w:val="00272ABF"/>
    <w:rsid w:val="0027578D"/>
    <w:rsid w:val="00282E25"/>
    <w:rsid w:val="00285BDE"/>
    <w:rsid w:val="0029069C"/>
    <w:rsid w:val="00290719"/>
    <w:rsid w:val="00292C96"/>
    <w:rsid w:val="002948A2"/>
    <w:rsid w:val="00294DB6"/>
    <w:rsid w:val="002A0D81"/>
    <w:rsid w:val="002A3F14"/>
    <w:rsid w:val="002A401B"/>
    <w:rsid w:val="002A52D9"/>
    <w:rsid w:val="002A7747"/>
    <w:rsid w:val="002B191F"/>
    <w:rsid w:val="002B2D44"/>
    <w:rsid w:val="002B6631"/>
    <w:rsid w:val="002B6F23"/>
    <w:rsid w:val="002C022F"/>
    <w:rsid w:val="002C1CDE"/>
    <w:rsid w:val="002C3753"/>
    <w:rsid w:val="002C6628"/>
    <w:rsid w:val="002C7101"/>
    <w:rsid w:val="002C7D1A"/>
    <w:rsid w:val="002D7A2B"/>
    <w:rsid w:val="002E111C"/>
    <w:rsid w:val="002E294F"/>
    <w:rsid w:val="002E625A"/>
    <w:rsid w:val="002E698F"/>
    <w:rsid w:val="002F1767"/>
    <w:rsid w:val="002F6968"/>
    <w:rsid w:val="00301DC9"/>
    <w:rsid w:val="00307CA5"/>
    <w:rsid w:val="003102D0"/>
    <w:rsid w:val="00311157"/>
    <w:rsid w:val="00314EB7"/>
    <w:rsid w:val="0031521E"/>
    <w:rsid w:val="00317531"/>
    <w:rsid w:val="003222A6"/>
    <w:rsid w:val="00326436"/>
    <w:rsid w:val="00330647"/>
    <w:rsid w:val="003441B3"/>
    <w:rsid w:val="00344E09"/>
    <w:rsid w:val="00347C88"/>
    <w:rsid w:val="0035284D"/>
    <w:rsid w:val="00355DA4"/>
    <w:rsid w:val="0035640D"/>
    <w:rsid w:val="00356ACA"/>
    <w:rsid w:val="00366BDB"/>
    <w:rsid w:val="0037193A"/>
    <w:rsid w:val="00374AFA"/>
    <w:rsid w:val="00375426"/>
    <w:rsid w:val="00392533"/>
    <w:rsid w:val="00393581"/>
    <w:rsid w:val="00396CAE"/>
    <w:rsid w:val="003A2C7B"/>
    <w:rsid w:val="003A643C"/>
    <w:rsid w:val="003A75BB"/>
    <w:rsid w:val="003B2321"/>
    <w:rsid w:val="003B38FD"/>
    <w:rsid w:val="003C14A5"/>
    <w:rsid w:val="003D0009"/>
    <w:rsid w:val="003D2972"/>
    <w:rsid w:val="003D42D0"/>
    <w:rsid w:val="003D5A8B"/>
    <w:rsid w:val="003D5C5C"/>
    <w:rsid w:val="003D6137"/>
    <w:rsid w:val="003D6AE2"/>
    <w:rsid w:val="003D6B95"/>
    <w:rsid w:val="003E4FC4"/>
    <w:rsid w:val="003F468E"/>
    <w:rsid w:val="004021F4"/>
    <w:rsid w:val="00405BA8"/>
    <w:rsid w:val="004066FC"/>
    <w:rsid w:val="0040704B"/>
    <w:rsid w:val="00411737"/>
    <w:rsid w:val="00411778"/>
    <w:rsid w:val="00423E42"/>
    <w:rsid w:val="00431403"/>
    <w:rsid w:val="00432187"/>
    <w:rsid w:val="00437E2A"/>
    <w:rsid w:val="00440F1D"/>
    <w:rsid w:val="00441CA2"/>
    <w:rsid w:val="00443BF5"/>
    <w:rsid w:val="004539D4"/>
    <w:rsid w:val="00455556"/>
    <w:rsid w:val="00456DD3"/>
    <w:rsid w:val="004619DA"/>
    <w:rsid w:val="00467436"/>
    <w:rsid w:val="00474FE9"/>
    <w:rsid w:val="004750A9"/>
    <w:rsid w:val="00476DF1"/>
    <w:rsid w:val="004831D4"/>
    <w:rsid w:val="00484464"/>
    <w:rsid w:val="0048791A"/>
    <w:rsid w:val="00487D76"/>
    <w:rsid w:val="0049502C"/>
    <w:rsid w:val="0049551C"/>
    <w:rsid w:val="004A04E1"/>
    <w:rsid w:val="004A1BA8"/>
    <w:rsid w:val="004A1C59"/>
    <w:rsid w:val="004A7E8F"/>
    <w:rsid w:val="004B2509"/>
    <w:rsid w:val="004B2E1B"/>
    <w:rsid w:val="004B5DCF"/>
    <w:rsid w:val="004B73CB"/>
    <w:rsid w:val="004B741F"/>
    <w:rsid w:val="004C006C"/>
    <w:rsid w:val="004C4057"/>
    <w:rsid w:val="004C529C"/>
    <w:rsid w:val="004D23BE"/>
    <w:rsid w:val="004D7A68"/>
    <w:rsid w:val="004E4EE1"/>
    <w:rsid w:val="004E630C"/>
    <w:rsid w:val="004F05BD"/>
    <w:rsid w:val="004F0792"/>
    <w:rsid w:val="004F6D12"/>
    <w:rsid w:val="005054C1"/>
    <w:rsid w:val="00506887"/>
    <w:rsid w:val="00507E4E"/>
    <w:rsid w:val="00510D3E"/>
    <w:rsid w:val="005124A0"/>
    <w:rsid w:val="0051668C"/>
    <w:rsid w:val="00520ECD"/>
    <w:rsid w:val="0052250D"/>
    <w:rsid w:val="00532C21"/>
    <w:rsid w:val="00532C30"/>
    <w:rsid w:val="00540A4E"/>
    <w:rsid w:val="0054178B"/>
    <w:rsid w:val="00542B19"/>
    <w:rsid w:val="005435CB"/>
    <w:rsid w:val="00544C2F"/>
    <w:rsid w:val="005467F7"/>
    <w:rsid w:val="00546B75"/>
    <w:rsid w:val="00561530"/>
    <w:rsid w:val="00561EB8"/>
    <w:rsid w:val="00567DFF"/>
    <w:rsid w:val="00572F9E"/>
    <w:rsid w:val="00587CDF"/>
    <w:rsid w:val="00594D5F"/>
    <w:rsid w:val="00597D7E"/>
    <w:rsid w:val="005A10BD"/>
    <w:rsid w:val="005A243C"/>
    <w:rsid w:val="005A3E28"/>
    <w:rsid w:val="005A4E05"/>
    <w:rsid w:val="005A513C"/>
    <w:rsid w:val="005B753F"/>
    <w:rsid w:val="005C05E0"/>
    <w:rsid w:val="005C4D8A"/>
    <w:rsid w:val="005C6E74"/>
    <w:rsid w:val="005D0612"/>
    <w:rsid w:val="005D1D58"/>
    <w:rsid w:val="005D3D7E"/>
    <w:rsid w:val="005D6C46"/>
    <w:rsid w:val="005E641C"/>
    <w:rsid w:val="005F0CA8"/>
    <w:rsid w:val="005F65D3"/>
    <w:rsid w:val="0060387B"/>
    <w:rsid w:val="0060791E"/>
    <w:rsid w:val="006165F6"/>
    <w:rsid w:val="00620512"/>
    <w:rsid w:val="00622DB6"/>
    <w:rsid w:val="00625BF9"/>
    <w:rsid w:val="00633416"/>
    <w:rsid w:val="00642A62"/>
    <w:rsid w:val="00651024"/>
    <w:rsid w:val="00651D69"/>
    <w:rsid w:val="006528ED"/>
    <w:rsid w:val="006540BF"/>
    <w:rsid w:val="0065771B"/>
    <w:rsid w:val="0066097F"/>
    <w:rsid w:val="006628EE"/>
    <w:rsid w:val="0066599B"/>
    <w:rsid w:val="00673C14"/>
    <w:rsid w:val="00677A7F"/>
    <w:rsid w:val="00677BB7"/>
    <w:rsid w:val="00682316"/>
    <w:rsid w:val="00685995"/>
    <w:rsid w:val="00695B8A"/>
    <w:rsid w:val="00696137"/>
    <w:rsid w:val="006A0DEF"/>
    <w:rsid w:val="006A5034"/>
    <w:rsid w:val="006A693A"/>
    <w:rsid w:val="006B20E4"/>
    <w:rsid w:val="006B6905"/>
    <w:rsid w:val="006C51B8"/>
    <w:rsid w:val="006D01CD"/>
    <w:rsid w:val="006D1501"/>
    <w:rsid w:val="006D1D5B"/>
    <w:rsid w:val="006D62AF"/>
    <w:rsid w:val="006E04B4"/>
    <w:rsid w:val="006E104D"/>
    <w:rsid w:val="006F07CA"/>
    <w:rsid w:val="006F2018"/>
    <w:rsid w:val="00701E82"/>
    <w:rsid w:val="00706060"/>
    <w:rsid w:val="0071636D"/>
    <w:rsid w:val="00717E2E"/>
    <w:rsid w:val="0072137A"/>
    <w:rsid w:val="00724C35"/>
    <w:rsid w:val="00733A03"/>
    <w:rsid w:val="00740E16"/>
    <w:rsid w:val="007422DF"/>
    <w:rsid w:val="007518EE"/>
    <w:rsid w:val="0075398B"/>
    <w:rsid w:val="00754454"/>
    <w:rsid w:val="007553F3"/>
    <w:rsid w:val="00756F96"/>
    <w:rsid w:val="00766536"/>
    <w:rsid w:val="00772743"/>
    <w:rsid w:val="00773E7B"/>
    <w:rsid w:val="0077634C"/>
    <w:rsid w:val="007844FE"/>
    <w:rsid w:val="00787AD3"/>
    <w:rsid w:val="00792A07"/>
    <w:rsid w:val="0079433E"/>
    <w:rsid w:val="00795032"/>
    <w:rsid w:val="007A6298"/>
    <w:rsid w:val="007A6F4F"/>
    <w:rsid w:val="007B13CD"/>
    <w:rsid w:val="007B61DE"/>
    <w:rsid w:val="007C1EEE"/>
    <w:rsid w:val="007C2630"/>
    <w:rsid w:val="007C4419"/>
    <w:rsid w:val="007D1F2B"/>
    <w:rsid w:val="007D4942"/>
    <w:rsid w:val="007D508E"/>
    <w:rsid w:val="007E290D"/>
    <w:rsid w:val="007E6B92"/>
    <w:rsid w:val="007E7DD7"/>
    <w:rsid w:val="0080134E"/>
    <w:rsid w:val="00806EC8"/>
    <w:rsid w:val="00807E86"/>
    <w:rsid w:val="00812AF2"/>
    <w:rsid w:val="00814B34"/>
    <w:rsid w:val="00823D1E"/>
    <w:rsid w:val="008273E1"/>
    <w:rsid w:val="00827DD0"/>
    <w:rsid w:val="008314C0"/>
    <w:rsid w:val="00835FCA"/>
    <w:rsid w:val="00842565"/>
    <w:rsid w:val="0084544A"/>
    <w:rsid w:val="00845BD6"/>
    <w:rsid w:val="00845E60"/>
    <w:rsid w:val="008527F8"/>
    <w:rsid w:val="00854305"/>
    <w:rsid w:val="008544F8"/>
    <w:rsid w:val="0085589C"/>
    <w:rsid w:val="00857F21"/>
    <w:rsid w:val="00862CAD"/>
    <w:rsid w:val="0089273A"/>
    <w:rsid w:val="00892F76"/>
    <w:rsid w:val="008935E9"/>
    <w:rsid w:val="008946D1"/>
    <w:rsid w:val="008979A0"/>
    <w:rsid w:val="008A1070"/>
    <w:rsid w:val="008A2C4A"/>
    <w:rsid w:val="008A4CFD"/>
    <w:rsid w:val="008A6523"/>
    <w:rsid w:val="008A7760"/>
    <w:rsid w:val="008B097A"/>
    <w:rsid w:val="008B4946"/>
    <w:rsid w:val="008B5467"/>
    <w:rsid w:val="008C47F5"/>
    <w:rsid w:val="008D32CD"/>
    <w:rsid w:val="008E1365"/>
    <w:rsid w:val="008E2362"/>
    <w:rsid w:val="008E5967"/>
    <w:rsid w:val="00901FC1"/>
    <w:rsid w:val="00905EB5"/>
    <w:rsid w:val="00913B81"/>
    <w:rsid w:val="0091401A"/>
    <w:rsid w:val="0092125F"/>
    <w:rsid w:val="00921CEF"/>
    <w:rsid w:val="00921F83"/>
    <w:rsid w:val="00922F70"/>
    <w:rsid w:val="009253BD"/>
    <w:rsid w:val="009259B7"/>
    <w:rsid w:val="009302CE"/>
    <w:rsid w:val="00933F54"/>
    <w:rsid w:val="00936E4B"/>
    <w:rsid w:val="00937CCC"/>
    <w:rsid w:val="00940791"/>
    <w:rsid w:val="0094152D"/>
    <w:rsid w:val="0094196E"/>
    <w:rsid w:val="009424D4"/>
    <w:rsid w:val="009426FC"/>
    <w:rsid w:val="0094586E"/>
    <w:rsid w:val="009509D4"/>
    <w:rsid w:val="00953892"/>
    <w:rsid w:val="0095608F"/>
    <w:rsid w:val="00956A07"/>
    <w:rsid w:val="0095706B"/>
    <w:rsid w:val="009617DA"/>
    <w:rsid w:val="009617F1"/>
    <w:rsid w:val="009645E1"/>
    <w:rsid w:val="00976226"/>
    <w:rsid w:val="00980324"/>
    <w:rsid w:val="00980524"/>
    <w:rsid w:val="00982FE4"/>
    <w:rsid w:val="0098668C"/>
    <w:rsid w:val="00990003"/>
    <w:rsid w:val="00991089"/>
    <w:rsid w:val="00991716"/>
    <w:rsid w:val="009930FA"/>
    <w:rsid w:val="009967D1"/>
    <w:rsid w:val="00996AD5"/>
    <w:rsid w:val="009A0D27"/>
    <w:rsid w:val="009A2F9C"/>
    <w:rsid w:val="009A3325"/>
    <w:rsid w:val="009A41C2"/>
    <w:rsid w:val="009B15D0"/>
    <w:rsid w:val="009B20AB"/>
    <w:rsid w:val="009B5D42"/>
    <w:rsid w:val="009C6E0A"/>
    <w:rsid w:val="009C778C"/>
    <w:rsid w:val="009D19DC"/>
    <w:rsid w:val="009E1205"/>
    <w:rsid w:val="009E442B"/>
    <w:rsid w:val="009E4A35"/>
    <w:rsid w:val="009E67D9"/>
    <w:rsid w:val="009F03E5"/>
    <w:rsid w:val="009F5370"/>
    <w:rsid w:val="009F5605"/>
    <w:rsid w:val="00A01FA0"/>
    <w:rsid w:val="00A06162"/>
    <w:rsid w:val="00A132E1"/>
    <w:rsid w:val="00A149DA"/>
    <w:rsid w:val="00A14D31"/>
    <w:rsid w:val="00A271FC"/>
    <w:rsid w:val="00A310D3"/>
    <w:rsid w:val="00A358F2"/>
    <w:rsid w:val="00A37B6C"/>
    <w:rsid w:val="00A41C31"/>
    <w:rsid w:val="00A43119"/>
    <w:rsid w:val="00A45C2E"/>
    <w:rsid w:val="00A474C2"/>
    <w:rsid w:val="00A4775E"/>
    <w:rsid w:val="00A47AD7"/>
    <w:rsid w:val="00A562F1"/>
    <w:rsid w:val="00A642C1"/>
    <w:rsid w:val="00A73E49"/>
    <w:rsid w:val="00A74494"/>
    <w:rsid w:val="00A77EA5"/>
    <w:rsid w:val="00A81407"/>
    <w:rsid w:val="00A85AFB"/>
    <w:rsid w:val="00A87494"/>
    <w:rsid w:val="00A9180D"/>
    <w:rsid w:val="00A93B1D"/>
    <w:rsid w:val="00A9477F"/>
    <w:rsid w:val="00A95063"/>
    <w:rsid w:val="00A957DD"/>
    <w:rsid w:val="00AA1B26"/>
    <w:rsid w:val="00AA408E"/>
    <w:rsid w:val="00AA4DA5"/>
    <w:rsid w:val="00AA6B37"/>
    <w:rsid w:val="00AB2D40"/>
    <w:rsid w:val="00AB6A53"/>
    <w:rsid w:val="00AB6EE5"/>
    <w:rsid w:val="00AC02D8"/>
    <w:rsid w:val="00AD054A"/>
    <w:rsid w:val="00AD09CD"/>
    <w:rsid w:val="00AD3A37"/>
    <w:rsid w:val="00AD5B67"/>
    <w:rsid w:val="00AD6C53"/>
    <w:rsid w:val="00AD7607"/>
    <w:rsid w:val="00AE03E8"/>
    <w:rsid w:val="00AE08D6"/>
    <w:rsid w:val="00AE251D"/>
    <w:rsid w:val="00AE49E1"/>
    <w:rsid w:val="00AE7911"/>
    <w:rsid w:val="00AE7A45"/>
    <w:rsid w:val="00AF01D1"/>
    <w:rsid w:val="00AF2006"/>
    <w:rsid w:val="00AF213D"/>
    <w:rsid w:val="00B00A7E"/>
    <w:rsid w:val="00B00EAC"/>
    <w:rsid w:val="00B02BD7"/>
    <w:rsid w:val="00B0684D"/>
    <w:rsid w:val="00B17EB0"/>
    <w:rsid w:val="00B24E07"/>
    <w:rsid w:val="00B3086C"/>
    <w:rsid w:val="00B3247C"/>
    <w:rsid w:val="00B32DF6"/>
    <w:rsid w:val="00B33642"/>
    <w:rsid w:val="00B34A5D"/>
    <w:rsid w:val="00B36276"/>
    <w:rsid w:val="00B36747"/>
    <w:rsid w:val="00B367CB"/>
    <w:rsid w:val="00B37237"/>
    <w:rsid w:val="00B42E6E"/>
    <w:rsid w:val="00B43AE5"/>
    <w:rsid w:val="00B459F2"/>
    <w:rsid w:val="00B46AA1"/>
    <w:rsid w:val="00B50247"/>
    <w:rsid w:val="00B51436"/>
    <w:rsid w:val="00B57FF4"/>
    <w:rsid w:val="00B7402A"/>
    <w:rsid w:val="00B74664"/>
    <w:rsid w:val="00B77C8F"/>
    <w:rsid w:val="00B77D15"/>
    <w:rsid w:val="00B838DD"/>
    <w:rsid w:val="00B83A0F"/>
    <w:rsid w:val="00B90526"/>
    <w:rsid w:val="00B941C9"/>
    <w:rsid w:val="00B96DDA"/>
    <w:rsid w:val="00BA09E9"/>
    <w:rsid w:val="00BA1B77"/>
    <w:rsid w:val="00BA697B"/>
    <w:rsid w:val="00BB111F"/>
    <w:rsid w:val="00BC0C3D"/>
    <w:rsid w:val="00BC22C5"/>
    <w:rsid w:val="00BC33D2"/>
    <w:rsid w:val="00BC46AB"/>
    <w:rsid w:val="00BD218D"/>
    <w:rsid w:val="00BE2064"/>
    <w:rsid w:val="00BE257B"/>
    <w:rsid w:val="00BE490F"/>
    <w:rsid w:val="00BF1B7E"/>
    <w:rsid w:val="00BF5655"/>
    <w:rsid w:val="00C0663D"/>
    <w:rsid w:val="00C10552"/>
    <w:rsid w:val="00C10914"/>
    <w:rsid w:val="00C10FC4"/>
    <w:rsid w:val="00C156A1"/>
    <w:rsid w:val="00C21D72"/>
    <w:rsid w:val="00C22965"/>
    <w:rsid w:val="00C2412F"/>
    <w:rsid w:val="00C27269"/>
    <w:rsid w:val="00C3533D"/>
    <w:rsid w:val="00C35A49"/>
    <w:rsid w:val="00C36A08"/>
    <w:rsid w:val="00C422B2"/>
    <w:rsid w:val="00C42868"/>
    <w:rsid w:val="00C441B5"/>
    <w:rsid w:val="00C47BDF"/>
    <w:rsid w:val="00C52B80"/>
    <w:rsid w:val="00C5692F"/>
    <w:rsid w:val="00C57A05"/>
    <w:rsid w:val="00C57EDF"/>
    <w:rsid w:val="00C62533"/>
    <w:rsid w:val="00C63EEC"/>
    <w:rsid w:val="00C65EF5"/>
    <w:rsid w:val="00C707F9"/>
    <w:rsid w:val="00C73CE2"/>
    <w:rsid w:val="00C74405"/>
    <w:rsid w:val="00C75DCE"/>
    <w:rsid w:val="00C82A2C"/>
    <w:rsid w:val="00C82B22"/>
    <w:rsid w:val="00C86393"/>
    <w:rsid w:val="00C92600"/>
    <w:rsid w:val="00C92E9C"/>
    <w:rsid w:val="00C966C0"/>
    <w:rsid w:val="00CA0C95"/>
    <w:rsid w:val="00CA30A3"/>
    <w:rsid w:val="00CA5517"/>
    <w:rsid w:val="00CA5E9C"/>
    <w:rsid w:val="00CA7433"/>
    <w:rsid w:val="00CB0FFA"/>
    <w:rsid w:val="00CB73F1"/>
    <w:rsid w:val="00CC0BB6"/>
    <w:rsid w:val="00CC31BB"/>
    <w:rsid w:val="00CC738B"/>
    <w:rsid w:val="00CD2F02"/>
    <w:rsid w:val="00CD42CE"/>
    <w:rsid w:val="00CD4470"/>
    <w:rsid w:val="00CD5050"/>
    <w:rsid w:val="00CE0167"/>
    <w:rsid w:val="00CE3D15"/>
    <w:rsid w:val="00CE6740"/>
    <w:rsid w:val="00CF4FD4"/>
    <w:rsid w:val="00D03474"/>
    <w:rsid w:val="00D035B2"/>
    <w:rsid w:val="00D05E95"/>
    <w:rsid w:val="00D07AA5"/>
    <w:rsid w:val="00D12665"/>
    <w:rsid w:val="00D13836"/>
    <w:rsid w:val="00D14960"/>
    <w:rsid w:val="00D155D5"/>
    <w:rsid w:val="00D21025"/>
    <w:rsid w:val="00D3118A"/>
    <w:rsid w:val="00D37B36"/>
    <w:rsid w:val="00D46C93"/>
    <w:rsid w:val="00D514CA"/>
    <w:rsid w:val="00D53808"/>
    <w:rsid w:val="00D5770F"/>
    <w:rsid w:val="00D6195A"/>
    <w:rsid w:val="00D64D9B"/>
    <w:rsid w:val="00D66DE6"/>
    <w:rsid w:val="00D67809"/>
    <w:rsid w:val="00D70414"/>
    <w:rsid w:val="00D72823"/>
    <w:rsid w:val="00D730A3"/>
    <w:rsid w:val="00D758D1"/>
    <w:rsid w:val="00D80173"/>
    <w:rsid w:val="00D83577"/>
    <w:rsid w:val="00D848A1"/>
    <w:rsid w:val="00D84D54"/>
    <w:rsid w:val="00D863B5"/>
    <w:rsid w:val="00D90C8E"/>
    <w:rsid w:val="00D93132"/>
    <w:rsid w:val="00DA2BC7"/>
    <w:rsid w:val="00DA3F5D"/>
    <w:rsid w:val="00DA6611"/>
    <w:rsid w:val="00DB4571"/>
    <w:rsid w:val="00DB5A84"/>
    <w:rsid w:val="00DB6557"/>
    <w:rsid w:val="00DC630D"/>
    <w:rsid w:val="00DD041F"/>
    <w:rsid w:val="00DD4FAB"/>
    <w:rsid w:val="00DE067A"/>
    <w:rsid w:val="00DE67E6"/>
    <w:rsid w:val="00DF5B2E"/>
    <w:rsid w:val="00E01AC0"/>
    <w:rsid w:val="00E0487F"/>
    <w:rsid w:val="00E06A79"/>
    <w:rsid w:val="00E06F45"/>
    <w:rsid w:val="00E13F51"/>
    <w:rsid w:val="00E152F3"/>
    <w:rsid w:val="00E15FF9"/>
    <w:rsid w:val="00E25837"/>
    <w:rsid w:val="00E27647"/>
    <w:rsid w:val="00E313AD"/>
    <w:rsid w:val="00E326AE"/>
    <w:rsid w:val="00E33EF4"/>
    <w:rsid w:val="00E40EF7"/>
    <w:rsid w:val="00E4231F"/>
    <w:rsid w:val="00E44405"/>
    <w:rsid w:val="00E46189"/>
    <w:rsid w:val="00E47FDD"/>
    <w:rsid w:val="00E513EE"/>
    <w:rsid w:val="00E51618"/>
    <w:rsid w:val="00E55389"/>
    <w:rsid w:val="00E55F20"/>
    <w:rsid w:val="00E5683A"/>
    <w:rsid w:val="00E60587"/>
    <w:rsid w:val="00E74183"/>
    <w:rsid w:val="00E76127"/>
    <w:rsid w:val="00E76C55"/>
    <w:rsid w:val="00E77BF3"/>
    <w:rsid w:val="00E80839"/>
    <w:rsid w:val="00E83106"/>
    <w:rsid w:val="00E84E51"/>
    <w:rsid w:val="00E853DF"/>
    <w:rsid w:val="00E857FC"/>
    <w:rsid w:val="00E874CD"/>
    <w:rsid w:val="00E95AB3"/>
    <w:rsid w:val="00EA0912"/>
    <w:rsid w:val="00EB4B98"/>
    <w:rsid w:val="00EB557C"/>
    <w:rsid w:val="00EB616C"/>
    <w:rsid w:val="00EC2988"/>
    <w:rsid w:val="00EC2BA4"/>
    <w:rsid w:val="00EC2CBF"/>
    <w:rsid w:val="00EC4D2D"/>
    <w:rsid w:val="00ED3EC5"/>
    <w:rsid w:val="00ED3F0D"/>
    <w:rsid w:val="00ED572B"/>
    <w:rsid w:val="00ED7D56"/>
    <w:rsid w:val="00EE6D26"/>
    <w:rsid w:val="00EF082D"/>
    <w:rsid w:val="00EF1C72"/>
    <w:rsid w:val="00EF328E"/>
    <w:rsid w:val="00EF3542"/>
    <w:rsid w:val="00EF4D51"/>
    <w:rsid w:val="00EF7E2A"/>
    <w:rsid w:val="00F00104"/>
    <w:rsid w:val="00F00D9B"/>
    <w:rsid w:val="00F07E43"/>
    <w:rsid w:val="00F10A26"/>
    <w:rsid w:val="00F11F4C"/>
    <w:rsid w:val="00F12DD8"/>
    <w:rsid w:val="00F17353"/>
    <w:rsid w:val="00F20190"/>
    <w:rsid w:val="00F21275"/>
    <w:rsid w:val="00F3162D"/>
    <w:rsid w:val="00F318C9"/>
    <w:rsid w:val="00F33982"/>
    <w:rsid w:val="00F348D6"/>
    <w:rsid w:val="00F37131"/>
    <w:rsid w:val="00F37C63"/>
    <w:rsid w:val="00F40976"/>
    <w:rsid w:val="00F42915"/>
    <w:rsid w:val="00F475EC"/>
    <w:rsid w:val="00F55182"/>
    <w:rsid w:val="00F6001B"/>
    <w:rsid w:val="00F600AE"/>
    <w:rsid w:val="00F63528"/>
    <w:rsid w:val="00F658DF"/>
    <w:rsid w:val="00F673D4"/>
    <w:rsid w:val="00F72E20"/>
    <w:rsid w:val="00F811E3"/>
    <w:rsid w:val="00F81CAD"/>
    <w:rsid w:val="00F828FD"/>
    <w:rsid w:val="00F94551"/>
    <w:rsid w:val="00F9668B"/>
    <w:rsid w:val="00FA481C"/>
    <w:rsid w:val="00FA51CC"/>
    <w:rsid w:val="00FB059A"/>
    <w:rsid w:val="00FB5E83"/>
    <w:rsid w:val="00FC33FA"/>
    <w:rsid w:val="00FC3CBA"/>
    <w:rsid w:val="00FC69B1"/>
    <w:rsid w:val="00FD0B1B"/>
    <w:rsid w:val="00FD20F3"/>
    <w:rsid w:val="00FD599C"/>
    <w:rsid w:val="00FE0399"/>
    <w:rsid w:val="00FE11FA"/>
    <w:rsid w:val="00FE37B2"/>
    <w:rsid w:val="00FE4A98"/>
    <w:rsid w:val="00FE5E09"/>
    <w:rsid w:val="00FE77DB"/>
    <w:rsid w:val="00FF12DE"/>
    <w:rsid w:val="00FF6A03"/>
    <w:rsid w:val="00FF6EB5"/>
    <w:rsid w:val="0FB610AD"/>
    <w:rsid w:val="10975C16"/>
    <w:rsid w:val="12245756"/>
    <w:rsid w:val="14D22E7F"/>
    <w:rsid w:val="15A811B4"/>
    <w:rsid w:val="1E856BD4"/>
    <w:rsid w:val="354818BE"/>
    <w:rsid w:val="35E91B04"/>
    <w:rsid w:val="43194CEF"/>
    <w:rsid w:val="436F7DBD"/>
    <w:rsid w:val="4D9434B4"/>
    <w:rsid w:val="736019DF"/>
    <w:rsid w:val="78594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F0902A"/>
  <w15:docId w15:val="{CABC0D99-43A4-4C48-875C-AF1F54855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20" w:lineRule="exact"/>
      <w:jc w:val="both"/>
    </w:pPr>
    <w:rPr>
      <w:rFonts w:ascii="华文楷体" w:eastAsia="华文楷体" w:hAnsi="华文楷体"/>
      <w:kern w:val="2"/>
      <w:sz w:val="22"/>
      <w:szCs w:val="24"/>
    </w:rPr>
  </w:style>
  <w:style w:type="paragraph" w:styleId="1">
    <w:name w:val="heading 1"/>
    <w:basedOn w:val="a"/>
    <w:next w:val="a"/>
    <w:link w:val="10"/>
    <w:uiPriority w:val="9"/>
    <w:qFormat/>
    <w:pPr>
      <w:keepNext/>
      <w:keepLines/>
      <w:spacing w:line="400" w:lineRule="exact"/>
      <w:jc w:val="center"/>
      <w:outlineLvl w:val="0"/>
    </w:pPr>
    <w:rPr>
      <w:b/>
      <w:bCs/>
      <w:kern w:val="44"/>
      <w:sz w:val="32"/>
      <w:szCs w:val="44"/>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jc w:val="center"/>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semiHidden/>
    <w:unhideWhenUsed/>
    <w:qFormat/>
    <w:pPr>
      <w:keepNext/>
      <w:keepLines/>
      <w:spacing w:before="280" w:after="290" w:line="376" w:lineRule="auto"/>
      <w:jc w:val="center"/>
      <w:outlineLvl w:val="4"/>
    </w:pPr>
    <w:rPr>
      <w:rFonts w:ascii="黑体" w:eastAsia="黑体" w:hAnsi="黑体"/>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Body Text"/>
    <w:basedOn w:val="a"/>
    <w:link w:val="a6"/>
    <w:uiPriority w:val="1"/>
    <w:qFormat/>
    <w:pPr>
      <w:ind w:left="220"/>
    </w:pPr>
    <w:rPr>
      <w:rFonts w:ascii="微软雅黑" w:eastAsia="微软雅黑" w:hAnsi="微软雅黑"/>
      <w:sz w:val="24"/>
    </w:rPr>
  </w:style>
  <w:style w:type="paragraph" w:styleId="a7">
    <w:name w:val="Balloon Text"/>
    <w:basedOn w:val="a"/>
    <w:link w:val="a8"/>
    <w:uiPriority w:val="99"/>
    <w:semiHidden/>
    <w:unhideWhenUsed/>
    <w:qFormat/>
    <w:rPr>
      <w:rFonts w:ascii="宋体" w:eastAsia="宋体"/>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footnote text"/>
    <w:basedOn w:val="a"/>
    <w:link w:val="ae"/>
    <w:uiPriority w:val="99"/>
    <w:semiHidden/>
    <w:unhideWhenUsed/>
    <w:qFormat/>
    <w:pPr>
      <w:snapToGrid w:val="0"/>
      <w:jc w:val="left"/>
    </w:pPr>
    <w:rPr>
      <w:sz w:val="18"/>
      <w:szCs w:val="18"/>
    </w:rPr>
  </w:style>
  <w:style w:type="paragraph" w:styleId="af">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f0">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uiPriority w:val="22"/>
    <w:qFormat/>
    <w:rPr>
      <w:b/>
      <w:bCs/>
    </w:rPr>
  </w:style>
  <w:style w:type="character" w:styleId="af2">
    <w:name w:val="Emphasis"/>
    <w:basedOn w:val="a0"/>
    <w:uiPriority w:val="20"/>
    <w:qFormat/>
    <w:rPr>
      <w:i/>
      <w:iCs/>
    </w:rPr>
  </w:style>
  <w:style w:type="character" w:styleId="af3">
    <w:name w:val="Hyperlink"/>
    <w:basedOn w:val="a0"/>
    <w:uiPriority w:val="99"/>
    <w:semiHidden/>
    <w:unhideWhenUsed/>
    <w:qFormat/>
    <w:rPr>
      <w:color w:val="0000FF"/>
      <w:u w:val="single"/>
    </w:rPr>
  </w:style>
  <w:style w:type="paragraph" w:customStyle="1" w:styleId="11">
    <w:name w:val="1主标题"/>
    <w:basedOn w:val="a"/>
    <w:next w:val="2Abstract"/>
    <w:qFormat/>
    <w:pPr>
      <w:spacing w:line="360" w:lineRule="auto"/>
      <w:jc w:val="center"/>
    </w:pPr>
    <w:rPr>
      <w:rFonts w:ascii="黑体" w:eastAsia="黑体" w:hAnsi="黑体" w:cs="Times New Roman"/>
      <w:sz w:val="36"/>
      <w:szCs w:val="36"/>
    </w:rPr>
  </w:style>
  <w:style w:type="paragraph" w:customStyle="1" w:styleId="2Abstract">
    <w:name w:val="2副标题/Abstract"/>
    <w:basedOn w:val="a"/>
    <w:next w:val="3-"/>
    <w:qFormat/>
    <w:pPr>
      <w:spacing w:line="360" w:lineRule="auto"/>
      <w:jc w:val="center"/>
    </w:pPr>
    <w:rPr>
      <w:rFonts w:cs="楷体"/>
      <w:color w:val="333333"/>
      <w:spacing w:val="8"/>
      <w:kern w:val="0"/>
      <w:sz w:val="24"/>
      <w:szCs w:val="36"/>
      <w:shd w:val="clear" w:color="auto" w:fill="FFFFFF"/>
    </w:rPr>
  </w:style>
  <w:style w:type="paragraph" w:customStyle="1" w:styleId="3-">
    <w:name w:val="3一级-标题"/>
    <w:basedOn w:val="3"/>
    <w:next w:val="0"/>
    <w:qFormat/>
    <w:rsid w:val="00A642C1"/>
    <w:pPr>
      <w:spacing w:beforeLines="100" w:before="240" w:afterLines="100" w:after="240" w:line="240" w:lineRule="auto"/>
      <w:jc w:val="center"/>
    </w:pPr>
    <w:rPr>
      <w:rFonts w:cs="Times New Roman"/>
      <w:bCs w:val="0"/>
      <w:sz w:val="36"/>
      <w:szCs w:val="44"/>
    </w:rPr>
  </w:style>
  <w:style w:type="paragraph" w:customStyle="1" w:styleId="0">
    <w:name w:val="0中文正文"/>
    <w:basedOn w:val="a"/>
    <w:qFormat/>
    <w:rsid w:val="004619DA"/>
    <w:pPr>
      <w:spacing w:afterLines="100" w:after="240" w:line="264" w:lineRule="auto"/>
    </w:pPr>
    <w:rPr>
      <w:rFonts w:ascii="Times New Roman" w:eastAsia="楷体" w:hAnsi="Times New Roman" w:cs="Times New Roman"/>
      <w:sz w:val="24"/>
      <w:szCs w:val="22"/>
    </w:rPr>
  </w:style>
  <w:style w:type="paragraph" w:customStyle="1" w:styleId="5-">
    <w:name w:val="5三级-标题"/>
    <w:basedOn w:val="5"/>
    <w:next w:val="0"/>
    <w:qFormat/>
    <w:pPr>
      <w:spacing w:before="0" w:after="0" w:line="360" w:lineRule="auto"/>
      <w:jc w:val="left"/>
    </w:pPr>
    <w:rPr>
      <w:rFonts w:ascii="华文楷体" w:eastAsia="华文楷体" w:hAnsi="华文楷体" w:cs="Times New Roman"/>
      <w:b w:val="0"/>
      <w:sz w:val="24"/>
      <w:szCs w:val="24"/>
    </w:rPr>
  </w:style>
  <w:style w:type="character" w:customStyle="1" w:styleId="50">
    <w:name w:val="标题 5 字符"/>
    <w:basedOn w:val="a0"/>
    <w:link w:val="5"/>
    <w:uiPriority w:val="9"/>
    <w:semiHidden/>
    <w:qFormat/>
    <w:rPr>
      <w:rFonts w:ascii="黑体" w:eastAsia="黑体" w:hAnsi="黑体"/>
      <w:b/>
      <w:bCs/>
      <w:sz w:val="28"/>
      <w:szCs w:val="28"/>
    </w:rPr>
  </w:style>
  <w:style w:type="paragraph" w:customStyle="1" w:styleId="4-">
    <w:name w:val="4二级-标题"/>
    <w:basedOn w:val="4"/>
    <w:next w:val="0"/>
    <w:qFormat/>
    <w:rsid w:val="00C0663D"/>
    <w:pPr>
      <w:spacing w:before="0" w:after="0" w:line="360" w:lineRule="auto"/>
      <w:jc w:val="left"/>
    </w:pPr>
    <w:rPr>
      <w:rFonts w:ascii="华文楷体" w:eastAsia="华文楷体" w:hAnsi="华文楷体"/>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30">
    <w:name w:val="标题 3 字符"/>
    <w:basedOn w:val="a0"/>
    <w:link w:val="3"/>
    <w:uiPriority w:val="9"/>
    <w:semiHidden/>
    <w:qFormat/>
    <w:rPr>
      <w:b/>
      <w:bCs/>
      <w:sz w:val="32"/>
      <w:szCs w:val="32"/>
    </w:rPr>
  </w:style>
  <w:style w:type="paragraph" w:customStyle="1" w:styleId="00">
    <w:name w:val="0英语正文"/>
    <w:basedOn w:val="a"/>
    <w:qFormat/>
    <w:rsid w:val="00A642C1"/>
    <w:pPr>
      <w:spacing w:afterLines="30" w:after="72" w:line="240" w:lineRule="exact"/>
    </w:pPr>
    <w:rPr>
      <w:rFonts w:cs="Times New Roman"/>
      <w:color w:val="767171" w:themeColor="background2" w:themeShade="80"/>
      <w:sz w:val="21"/>
      <w:szCs w:val="32"/>
    </w:rPr>
  </w:style>
  <w:style w:type="paragraph" w:customStyle="1" w:styleId="af4">
    <w:name w:val="脚注"/>
    <w:basedOn w:val="ad"/>
    <w:link w:val="af5"/>
    <w:qFormat/>
    <w:rPr>
      <w:rFonts w:cs="宋体"/>
      <w:sz w:val="15"/>
    </w:rPr>
  </w:style>
  <w:style w:type="character" w:customStyle="1" w:styleId="af5">
    <w:name w:val="脚注 字符"/>
    <w:basedOn w:val="ae"/>
    <w:link w:val="af4"/>
    <w:qFormat/>
    <w:rPr>
      <w:rFonts w:ascii="华文楷体" w:eastAsia="华文楷体" w:hAnsi="华文楷体" w:cs="宋体"/>
      <w:sz w:val="15"/>
      <w:szCs w:val="18"/>
    </w:rPr>
  </w:style>
  <w:style w:type="character" w:customStyle="1" w:styleId="ae">
    <w:name w:val="脚注文本 字符"/>
    <w:basedOn w:val="a0"/>
    <w:link w:val="ad"/>
    <w:uiPriority w:val="99"/>
    <w:semiHidden/>
    <w:qFormat/>
    <w:rPr>
      <w:sz w:val="18"/>
      <w:szCs w:val="18"/>
    </w:rPr>
  </w:style>
  <w:style w:type="character" w:customStyle="1" w:styleId="a8">
    <w:name w:val="批注框文本 字符"/>
    <w:basedOn w:val="a0"/>
    <w:link w:val="a7"/>
    <w:uiPriority w:val="99"/>
    <w:semiHidden/>
    <w:qFormat/>
    <w:rPr>
      <w:rFonts w:ascii="宋体" w:eastAsia="宋体"/>
      <w:sz w:val="18"/>
      <w:szCs w:val="18"/>
    </w:rPr>
  </w:style>
  <w:style w:type="paragraph" w:customStyle="1" w:styleId="12">
    <w:name w:val="修订1"/>
    <w:hidden/>
    <w:uiPriority w:val="99"/>
    <w:semiHidden/>
    <w:qFormat/>
    <w:rPr>
      <w:kern w:val="2"/>
      <w:sz w:val="21"/>
      <w:szCs w:val="24"/>
    </w:rPr>
  </w:style>
  <w:style w:type="character" w:customStyle="1" w:styleId="10">
    <w:name w:val="标题 1 字符"/>
    <w:basedOn w:val="a0"/>
    <w:link w:val="1"/>
    <w:uiPriority w:val="9"/>
    <w:qFormat/>
    <w:rPr>
      <w:rFonts w:eastAsia="华文楷体"/>
      <w:b/>
      <w:bCs/>
      <w:kern w:val="44"/>
      <w:sz w:val="32"/>
      <w:szCs w:val="44"/>
    </w:rPr>
  </w:style>
  <w:style w:type="paragraph" w:styleId="af6">
    <w:name w:val="List Paragraph"/>
    <w:basedOn w:val="a"/>
    <w:uiPriority w:val="1"/>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正文文本 字符"/>
    <w:basedOn w:val="a0"/>
    <w:link w:val="a5"/>
    <w:uiPriority w:val="1"/>
    <w:qFormat/>
    <w:rPr>
      <w:rFonts w:ascii="微软雅黑" w:eastAsia="微软雅黑" w:hAnsi="微软雅黑"/>
      <w:sz w:val="24"/>
    </w:rPr>
  </w:style>
  <w:style w:type="character" w:customStyle="1" w:styleId="a4">
    <w:name w:val="文档结构图 字符"/>
    <w:basedOn w:val="a0"/>
    <w:link w:val="a3"/>
    <w:uiPriority w:val="99"/>
    <w:semiHidden/>
    <w:qFormat/>
    <w:rPr>
      <w:rFonts w:ascii="宋体" w:eastAsia="宋体"/>
      <w:sz w:val="18"/>
      <w:szCs w:val="18"/>
    </w:rPr>
  </w:style>
  <w:style w:type="character" w:styleId="af7">
    <w:name w:val="page number"/>
    <w:basedOn w:val="a0"/>
    <w:uiPriority w:val="99"/>
    <w:semiHidden/>
    <w:unhideWhenUsed/>
    <w:rsid w:val="007D1F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10.png"/><Relationship Id="rId26" Type="http://schemas.openxmlformats.org/officeDocument/2006/relationships/image" Target="media/image18.png"/><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image" Target="media/image1.jpg"/><Relationship Id="rId12" Type="http://schemas.openxmlformats.org/officeDocument/2006/relationships/header" Target="header1.xml"/><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4.jp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image" Target="media/image2.png"/><Relationship Id="rId3" Type="http://schemas.openxmlformats.org/officeDocument/2006/relationships/settings" Target="settings.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165</TotalTime>
  <Pages>92</Pages>
  <Words>18745</Words>
  <Characters>106852</Characters>
  <Application>Microsoft Office Word</Application>
  <DocSecurity>0</DocSecurity>
  <Lines>890</Lines>
  <Paragraphs>250</Paragraphs>
  <ScaleCrop>false</ScaleCrop>
  <Company/>
  <LinksUpToDate>false</LinksUpToDate>
  <CharactersWithSpaces>125347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Alex.Li</dc:creator>
  <cp:lastModifiedBy>Microsoft</cp:lastModifiedBy>
  <cp:revision>154</cp:revision>
  <cp:lastPrinted>2025-08-25T04:32:00Z</cp:lastPrinted>
  <dcterms:created xsi:type="dcterms:W3CDTF">2025-08-23T10:17:00Z</dcterms:created>
  <dcterms:modified xsi:type="dcterms:W3CDTF">2025-09-01T09:59:00Z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2052-11.8.2.12089</vt:lpwstr>
  </property>
  <property fmtid="{D5CDD505-2E9C-101B-9397-08002B2CF9AE}" pid="3" name="ICV">
    <vt:lpwstr>C89C9E0E68464E7DAE84191906DE683A</vt:lpwstr>
  </property>
</Properties>
</file>